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9402D5" w14:textId="53994DB9" w:rsidR="003E49C0" w:rsidRDefault="000D4CF8" w:rsidP="00654748">
      <w:pPr>
        <w:spacing w:after="60"/>
        <w:jc w:val="center"/>
        <w:rPr>
          <w:b/>
          <w:sz w:val="36"/>
        </w:rPr>
      </w:pPr>
      <w:r>
        <w:rPr>
          <w:b/>
          <w:noProof/>
          <w:sz w:val="36"/>
        </w:rPr>
        <mc:AlternateContent>
          <mc:Choice Requires="wps">
            <w:drawing>
              <wp:anchor distT="0" distB="0" distL="114300" distR="114300" simplePos="0" relativeHeight="251701248" behindDoc="0" locked="0" layoutInCell="1" allowOverlap="1" wp14:anchorId="3B479EEE" wp14:editId="296B083A">
                <wp:simplePos x="0" y="0"/>
                <wp:positionH relativeFrom="column">
                  <wp:posOffset>-600501</wp:posOffset>
                </wp:positionH>
                <wp:positionV relativeFrom="paragraph">
                  <wp:posOffset>-600501</wp:posOffset>
                </wp:positionV>
                <wp:extent cx="7155712" cy="9430602"/>
                <wp:effectExtent l="114300" t="114300" r="140970" b="132715"/>
                <wp:wrapNone/>
                <wp:docPr id="1849335917" name="Rectangle 1"/>
                <wp:cNvGraphicFramePr/>
                <a:graphic xmlns:a="http://schemas.openxmlformats.org/drawingml/2006/main">
                  <a:graphicData uri="http://schemas.microsoft.com/office/word/2010/wordprocessingShape">
                    <wps:wsp>
                      <wps:cNvSpPr/>
                      <wps:spPr>
                        <a:xfrm>
                          <a:off x="0" y="0"/>
                          <a:ext cx="7155712" cy="9430602"/>
                        </a:xfrm>
                        <a:prstGeom prst="rect">
                          <a:avLst/>
                        </a:prstGeom>
                        <a:noFill/>
                        <a:ln w="254000">
                          <a:solidFill>
                            <a:srgbClr val="19792B"/>
                          </a:solidFill>
                          <a:miter lim="800000"/>
                        </a:ln>
                        <a:effectLst/>
                      </wps:spPr>
                      <wps:style>
                        <a:lnRef idx="2">
                          <a:schemeClr val="accent1">
                            <a:shade val="15000"/>
                          </a:schemeClr>
                        </a:lnRef>
                        <a:fillRef idx="1">
                          <a:schemeClr val="accent1"/>
                        </a:fillRef>
                        <a:effectRef idx="0">
                          <a:schemeClr val="accent1"/>
                        </a:effectRef>
                        <a:fontRef idx="minor">
                          <a:schemeClr val="lt1"/>
                        </a:fontRef>
                      </wps:style>
                      <wps:txbx>
                        <w:txbxContent>
                          <w:p w14:paraId="63404FC8" w14:textId="2C6CCE10" w:rsidR="000D4CF8" w:rsidRPr="00842B9B" w:rsidRDefault="000D4CF8" w:rsidP="000D4CF8">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B479EEE" id="Rectangle 1" o:spid="_x0000_s1026" style="position:absolute;left:0;text-align:left;margin-left:-47.3pt;margin-top:-47.3pt;width:563.45pt;height:742.55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" filled="f" strokecolor="#19792b" strokeweight="20pt">
                <v:textbox>
                  <w:txbxContent>
                    <w:p w14:paraId="63404FC8" w14:textId="2C6CCE10" w:rsidR="000D4CF8" w:rsidRPr="00842B9B" w:rsidRDefault="000D4CF8" w:rsidP="000D4CF8">
                      <w:pPr>
                        <w:jc w:val="center"/>
                        <w:rPr>
                          <w:color w:val="000000"/>
                        </w:rPr>
                      </w:pPr>
                    </w:p>
                  </w:txbxContent>
                </v:textbox>
              </v:rect>
            </w:pict>
          </mc:Fallback>
        </mc:AlternateContent>
      </w:r>
    </w:p>
    <w:p w14:paraId="093D739C" w14:textId="09C0AEB9" w:rsidR="003E49C0" w:rsidRDefault="00FE2029" w:rsidP="00654748">
      <w:pPr>
        <w:spacing w:after="60"/>
        <w:jc w:val="center"/>
        <w:rPr>
          <w:b/>
          <w:sz w:val="36"/>
        </w:rPr>
      </w:pPr>
      <w:r w:rsidRPr="00FE2029">
        <w:rPr>
          <w:noProof/>
        </w:rPr>
        <w:t xml:space="preserve"> </w:t>
      </w:r>
      <w:r w:rsidRPr="00FE2029">
        <w:rPr>
          <w:b/>
          <w:noProof/>
          <w:sz w:val="36"/>
        </w:rPr>
        <w:drawing>
          <wp:inline distT="0" distB="0" distL="0" distR="0" wp14:anchorId="54FDEF58" wp14:editId="2CD3F1DD">
            <wp:extent cx="5372100" cy="1143000"/>
            <wp:effectExtent l="0" t="0" r="0" b="0"/>
            <wp:docPr id="635064063" name="Picture 635064063" descr="A blue rectang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064063" name="Picture 1" descr="A blue rectangle with white text&#10;&#10;Description automatically generated"/>
                    <pic:cNvPicPr/>
                  </pic:nvPicPr>
                  <pic:blipFill>
                    <a:blip r:embed="rId8"/>
                    <a:stretch>
                      <a:fillRect/>
                    </a:stretch>
                  </pic:blipFill>
                  <pic:spPr>
                    <a:xfrm>
                      <a:off x="0" y="0"/>
                      <a:ext cx="5372100" cy="1143000"/>
                    </a:xfrm>
                    <a:prstGeom prst="rect">
                      <a:avLst/>
                    </a:prstGeom>
                  </pic:spPr>
                </pic:pic>
              </a:graphicData>
            </a:graphic>
          </wp:inline>
        </w:drawing>
      </w:r>
    </w:p>
    <w:p w14:paraId="6865D1B3" w14:textId="77777777" w:rsidR="00D31F12" w:rsidRDefault="00D31F12" w:rsidP="00654748">
      <w:pPr>
        <w:spacing w:after="60"/>
        <w:jc w:val="center"/>
        <w:rPr>
          <w:b/>
          <w:sz w:val="36"/>
        </w:rPr>
      </w:pPr>
    </w:p>
    <w:p w14:paraId="6EED64DA" w14:textId="77777777" w:rsidR="00D31F12" w:rsidRDefault="00D31F12" w:rsidP="00654748">
      <w:pPr>
        <w:spacing w:after="60"/>
        <w:jc w:val="center"/>
        <w:rPr>
          <w:b/>
          <w:sz w:val="36"/>
        </w:rPr>
      </w:pPr>
    </w:p>
    <w:p w14:paraId="37195726" w14:textId="77777777" w:rsidR="00D31F12" w:rsidRDefault="00D31F12" w:rsidP="00654748">
      <w:pPr>
        <w:spacing w:after="60"/>
        <w:jc w:val="center"/>
        <w:rPr>
          <w:b/>
          <w:sz w:val="36"/>
        </w:rPr>
      </w:pPr>
    </w:p>
    <w:p w14:paraId="13EEEABE" w14:textId="77777777" w:rsidR="00D31F12" w:rsidRDefault="00D31F12" w:rsidP="00654748">
      <w:pPr>
        <w:spacing w:after="60"/>
        <w:jc w:val="center"/>
        <w:rPr>
          <w:b/>
          <w:sz w:val="36"/>
        </w:rPr>
      </w:pPr>
    </w:p>
    <w:p w14:paraId="3C2FAACA" w14:textId="5272086B" w:rsidR="00654748" w:rsidRPr="004213CC" w:rsidRDefault="00DA772C" w:rsidP="00654748">
      <w:pPr>
        <w:jc w:val="center"/>
        <w:rPr>
          <w:rFonts w:cstheme="minorHAnsi"/>
          <w:b/>
          <w:sz w:val="56"/>
          <w:szCs w:val="44"/>
        </w:rPr>
      </w:pPr>
      <w:r w:rsidRPr="004213CC">
        <w:rPr>
          <w:rFonts w:cstheme="minorHAnsi"/>
          <w:b/>
          <w:sz w:val="56"/>
          <w:szCs w:val="44"/>
        </w:rPr>
        <w:t xml:space="preserve">Integrated Resource Plan </w:t>
      </w:r>
    </w:p>
    <w:p w14:paraId="0BB7E845" w14:textId="03594AC0" w:rsidR="003E49C0" w:rsidRDefault="003E49C0" w:rsidP="00654748">
      <w:pPr>
        <w:jc w:val="center"/>
        <w:rPr>
          <w:b/>
          <w:sz w:val="36"/>
        </w:rPr>
      </w:pPr>
    </w:p>
    <w:p w14:paraId="29564D39" w14:textId="7BB9C829" w:rsidR="00654748" w:rsidRDefault="00654748" w:rsidP="00654748">
      <w:pPr>
        <w:spacing w:line="256" w:lineRule="auto"/>
        <w:jc w:val="center"/>
        <w:rPr>
          <w:rFonts w:ascii="Arial" w:eastAsia="Calibri" w:hAnsi="Arial" w:cs="Arial"/>
          <w:b/>
          <w:sz w:val="26"/>
          <w:szCs w:val="36"/>
        </w:rPr>
      </w:pPr>
    </w:p>
    <w:p w14:paraId="37C03212" w14:textId="77777777" w:rsidR="00654748" w:rsidRDefault="00654748" w:rsidP="003E49C0">
      <w:pPr>
        <w:spacing w:line="256" w:lineRule="auto"/>
        <w:rPr>
          <w:rFonts w:ascii="Arial" w:eastAsia="Calibri" w:hAnsi="Arial" w:cs="Arial"/>
          <w:b/>
          <w:sz w:val="26"/>
          <w:szCs w:val="36"/>
        </w:rPr>
      </w:pPr>
    </w:p>
    <w:p w14:paraId="348EB91D" w14:textId="2839DC56" w:rsidR="00654748" w:rsidRPr="00C34E49" w:rsidRDefault="00D31F12" w:rsidP="00654748">
      <w:pPr>
        <w:spacing w:line="256" w:lineRule="auto"/>
        <w:jc w:val="center"/>
        <w:rPr>
          <w:rFonts w:ascii="Arial" w:eastAsia="Calibri" w:hAnsi="Arial" w:cs="Arial"/>
          <w:b/>
          <w:sz w:val="26"/>
          <w:szCs w:val="36"/>
        </w:rPr>
      </w:pPr>
      <w:r w:rsidRPr="00C34E49">
        <w:rPr>
          <w:rFonts w:ascii="Arial" w:eastAsia="Calibri" w:hAnsi="Arial" w:cs="Arial"/>
          <w:b/>
          <w:sz w:val="26"/>
          <w:szCs w:val="36"/>
        </w:rPr>
        <w:t>D R A F T</w:t>
      </w:r>
    </w:p>
    <w:p w14:paraId="294BF60F" w14:textId="77777777" w:rsidR="00D31F12" w:rsidRPr="00C34E49" w:rsidRDefault="00D31F12" w:rsidP="00654748">
      <w:pPr>
        <w:spacing w:line="256" w:lineRule="auto"/>
        <w:jc w:val="center"/>
        <w:rPr>
          <w:rFonts w:ascii="Arial" w:eastAsia="Calibri" w:hAnsi="Arial" w:cs="Arial"/>
          <w:b/>
          <w:sz w:val="26"/>
          <w:szCs w:val="36"/>
        </w:rPr>
      </w:pPr>
    </w:p>
    <w:p w14:paraId="3741926E" w14:textId="68403014" w:rsidR="00D31F12" w:rsidRPr="00D31F12" w:rsidRDefault="00D31F12" w:rsidP="00654748">
      <w:pPr>
        <w:spacing w:line="256" w:lineRule="auto"/>
        <w:jc w:val="center"/>
        <w:rPr>
          <w:rFonts w:ascii="Arial" w:eastAsia="Calibri" w:hAnsi="Arial" w:cs="Arial"/>
          <w:b/>
          <w:sz w:val="26"/>
          <w:szCs w:val="36"/>
          <w:lang w:val="pt-BR"/>
        </w:rPr>
      </w:pPr>
      <w:r w:rsidRPr="00D31F12">
        <w:rPr>
          <w:rFonts w:ascii="Arial" w:eastAsia="Calibri" w:hAnsi="Arial" w:cs="Arial"/>
          <w:b/>
          <w:sz w:val="26"/>
          <w:szCs w:val="36"/>
          <w:lang w:val="pt-BR"/>
        </w:rPr>
        <w:t>Decem</w:t>
      </w:r>
      <w:r>
        <w:rPr>
          <w:rFonts w:ascii="Arial" w:eastAsia="Calibri" w:hAnsi="Arial" w:cs="Arial"/>
          <w:b/>
          <w:sz w:val="26"/>
          <w:szCs w:val="36"/>
          <w:lang w:val="pt-BR"/>
        </w:rPr>
        <w:t>ber 15, 2023</w:t>
      </w:r>
    </w:p>
    <w:p w14:paraId="04EE58BB" w14:textId="77777777" w:rsidR="00D31F12" w:rsidRPr="00D31F12" w:rsidRDefault="00D31F12" w:rsidP="00654748">
      <w:pPr>
        <w:spacing w:line="256" w:lineRule="auto"/>
        <w:jc w:val="center"/>
        <w:rPr>
          <w:rFonts w:ascii="Arial" w:eastAsia="Calibri" w:hAnsi="Arial" w:cs="Arial"/>
          <w:b/>
          <w:sz w:val="26"/>
          <w:szCs w:val="36"/>
          <w:lang w:val="pt-BR"/>
        </w:rPr>
      </w:pPr>
    </w:p>
    <w:p w14:paraId="038FAE47" w14:textId="77777777" w:rsidR="00D31F12" w:rsidRPr="00D31F12" w:rsidRDefault="00D31F12" w:rsidP="00654748">
      <w:pPr>
        <w:spacing w:line="256" w:lineRule="auto"/>
        <w:jc w:val="center"/>
        <w:rPr>
          <w:rFonts w:ascii="Arial" w:eastAsia="Calibri" w:hAnsi="Arial" w:cs="Arial"/>
          <w:b/>
          <w:sz w:val="26"/>
          <w:szCs w:val="36"/>
          <w:lang w:val="pt-BR"/>
        </w:rPr>
      </w:pPr>
    </w:p>
    <w:p w14:paraId="18461E52" w14:textId="77777777" w:rsidR="00D31F12" w:rsidRPr="00D31F12" w:rsidRDefault="00D31F12" w:rsidP="00654748">
      <w:pPr>
        <w:spacing w:line="256" w:lineRule="auto"/>
        <w:jc w:val="center"/>
        <w:rPr>
          <w:rFonts w:ascii="Arial" w:eastAsia="Calibri" w:hAnsi="Arial" w:cs="Arial"/>
          <w:b/>
          <w:sz w:val="26"/>
          <w:szCs w:val="36"/>
          <w:lang w:val="pt-BR"/>
        </w:rPr>
      </w:pPr>
    </w:p>
    <w:p w14:paraId="621CA922" w14:textId="77777777" w:rsidR="00D31F12" w:rsidRPr="00D31F12" w:rsidRDefault="00D31F12" w:rsidP="00654748">
      <w:pPr>
        <w:spacing w:line="256" w:lineRule="auto"/>
        <w:jc w:val="center"/>
        <w:rPr>
          <w:rFonts w:ascii="Arial" w:eastAsia="Calibri" w:hAnsi="Arial" w:cs="Arial"/>
          <w:b/>
          <w:sz w:val="26"/>
          <w:szCs w:val="36"/>
          <w:lang w:val="pt-BR"/>
        </w:rPr>
      </w:pPr>
    </w:p>
    <w:p w14:paraId="6814A78F" w14:textId="77777777" w:rsidR="00D31F12" w:rsidRPr="00D31F12" w:rsidRDefault="00D31F12" w:rsidP="00654748">
      <w:pPr>
        <w:spacing w:line="256" w:lineRule="auto"/>
        <w:jc w:val="center"/>
        <w:rPr>
          <w:rFonts w:ascii="Arial" w:eastAsia="Calibri" w:hAnsi="Arial" w:cs="Arial"/>
          <w:b/>
          <w:sz w:val="26"/>
          <w:szCs w:val="36"/>
          <w:lang w:val="pt-BR"/>
        </w:rPr>
      </w:pPr>
    </w:p>
    <w:p w14:paraId="1FECD287" w14:textId="77777777" w:rsidR="00D31F12" w:rsidRPr="00D31F12" w:rsidRDefault="00D31F12" w:rsidP="00654748">
      <w:pPr>
        <w:spacing w:line="256" w:lineRule="auto"/>
        <w:jc w:val="center"/>
        <w:rPr>
          <w:rFonts w:ascii="Arial" w:eastAsia="Calibri" w:hAnsi="Arial" w:cs="Arial"/>
          <w:b/>
          <w:sz w:val="26"/>
          <w:szCs w:val="36"/>
          <w:lang w:val="pt-BR"/>
        </w:rPr>
      </w:pPr>
    </w:p>
    <w:p w14:paraId="707A0B92" w14:textId="77777777" w:rsidR="00D31F12" w:rsidRPr="00D31F12" w:rsidRDefault="00D31F12" w:rsidP="00654748">
      <w:pPr>
        <w:spacing w:line="256" w:lineRule="auto"/>
        <w:jc w:val="center"/>
        <w:rPr>
          <w:rFonts w:ascii="Arial" w:eastAsia="Calibri" w:hAnsi="Arial" w:cs="Arial"/>
          <w:b/>
          <w:sz w:val="26"/>
          <w:szCs w:val="36"/>
          <w:lang w:val="pt-BR"/>
        </w:rPr>
      </w:pPr>
    </w:p>
    <w:p w14:paraId="413C51BD" w14:textId="77777777" w:rsidR="00D31F12" w:rsidRPr="00D31F12" w:rsidRDefault="00D31F12" w:rsidP="00654748">
      <w:pPr>
        <w:spacing w:line="256" w:lineRule="auto"/>
        <w:jc w:val="center"/>
        <w:rPr>
          <w:rFonts w:ascii="Arial" w:eastAsia="Calibri" w:hAnsi="Arial" w:cs="Arial"/>
          <w:b/>
          <w:sz w:val="26"/>
          <w:szCs w:val="36"/>
          <w:lang w:val="pt-BR"/>
        </w:rPr>
      </w:pPr>
    </w:p>
    <w:p w14:paraId="44C8750B" w14:textId="77777777" w:rsidR="00D31F12" w:rsidRPr="00D31F12" w:rsidRDefault="00D31F12" w:rsidP="00654748">
      <w:pPr>
        <w:spacing w:line="256" w:lineRule="auto"/>
        <w:jc w:val="center"/>
        <w:rPr>
          <w:rFonts w:ascii="Arial" w:eastAsia="Calibri" w:hAnsi="Arial" w:cs="Arial"/>
          <w:b/>
          <w:sz w:val="26"/>
          <w:szCs w:val="36"/>
          <w:lang w:val="pt-BR"/>
        </w:rPr>
      </w:pPr>
    </w:p>
    <w:p w14:paraId="60608B4D" w14:textId="77777777" w:rsidR="00D31F12" w:rsidRPr="00D31F12" w:rsidRDefault="00D31F12" w:rsidP="00654748">
      <w:pPr>
        <w:spacing w:line="256" w:lineRule="auto"/>
        <w:jc w:val="center"/>
        <w:rPr>
          <w:rFonts w:ascii="Arial" w:eastAsia="Calibri" w:hAnsi="Arial" w:cs="Arial"/>
          <w:b/>
          <w:sz w:val="26"/>
          <w:szCs w:val="36"/>
          <w:lang w:val="pt-BR"/>
        </w:rPr>
      </w:pPr>
    </w:p>
    <w:p w14:paraId="3C425369" w14:textId="77777777" w:rsidR="00D31F12" w:rsidRPr="00D31F12" w:rsidRDefault="00D31F12" w:rsidP="00654748">
      <w:pPr>
        <w:spacing w:line="256" w:lineRule="auto"/>
        <w:jc w:val="center"/>
        <w:rPr>
          <w:rFonts w:ascii="Arial" w:eastAsia="Calibri" w:hAnsi="Arial" w:cs="Arial"/>
          <w:b/>
          <w:sz w:val="26"/>
          <w:szCs w:val="36"/>
          <w:lang w:val="pt-BR"/>
        </w:rPr>
      </w:pPr>
    </w:p>
    <w:p w14:paraId="05EA024E" w14:textId="6BEBFA38" w:rsidR="00654748" w:rsidRPr="00D31F12" w:rsidRDefault="00654748" w:rsidP="00654748">
      <w:pPr>
        <w:spacing w:line="256" w:lineRule="auto"/>
        <w:jc w:val="center"/>
        <w:rPr>
          <w:rFonts w:ascii="Arial" w:eastAsia="Calibri" w:hAnsi="Arial" w:cs="Arial"/>
          <w:b/>
          <w:sz w:val="26"/>
          <w:szCs w:val="36"/>
          <w:lang w:val="pt-BR"/>
        </w:rPr>
      </w:pPr>
    </w:p>
    <w:p w14:paraId="09B3F51B" w14:textId="56EB20AA" w:rsidR="00654748" w:rsidRDefault="00D31F12" w:rsidP="00654748">
      <w:pPr>
        <w:spacing w:line="256" w:lineRule="auto"/>
        <w:jc w:val="center"/>
        <w:rPr>
          <w:rFonts w:ascii="Arial" w:eastAsia="Calibri" w:hAnsi="Arial" w:cs="Arial"/>
          <w:b/>
          <w:sz w:val="26"/>
          <w:szCs w:val="36"/>
        </w:rPr>
      </w:pPr>
      <w:r>
        <w:rPr>
          <w:noProof/>
        </w:rPr>
        <w:drawing>
          <wp:anchor distT="0" distB="0" distL="114300" distR="114300" simplePos="0" relativeHeight="251700224" behindDoc="0" locked="0" layoutInCell="1" allowOverlap="1" wp14:anchorId="7D672214" wp14:editId="7E1417DF">
            <wp:simplePos x="0" y="0"/>
            <wp:positionH relativeFrom="margin">
              <wp:posOffset>3800475</wp:posOffset>
            </wp:positionH>
            <wp:positionV relativeFrom="paragraph">
              <wp:posOffset>13335</wp:posOffset>
            </wp:positionV>
            <wp:extent cx="1250950" cy="628015"/>
            <wp:effectExtent l="0" t="0" r="6350" b="635"/>
            <wp:wrapSquare wrapText="bothSides"/>
            <wp:docPr id="68419212" name="Picture 68419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50950" cy="628015"/>
                    </a:xfrm>
                    <a:prstGeom prst="rect">
                      <a:avLst/>
                    </a:prstGeom>
                  </pic:spPr>
                </pic:pic>
              </a:graphicData>
            </a:graphic>
            <wp14:sizeRelH relativeFrom="page">
              <wp14:pctWidth>0</wp14:pctWidth>
            </wp14:sizeRelH>
            <wp14:sizeRelV relativeFrom="page">
              <wp14:pctHeight>0</wp14:pctHeight>
            </wp14:sizeRelV>
          </wp:anchor>
        </w:drawing>
      </w:r>
      <w:r w:rsidR="00FC7BEC" w:rsidRPr="00FC7BEC">
        <w:rPr>
          <w:rFonts w:ascii="Arial" w:eastAsia="Calibri" w:hAnsi="Arial" w:cs="Arial"/>
          <w:b/>
          <w:noProof/>
          <w:sz w:val="26"/>
          <w:szCs w:val="36"/>
        </w:rPr>
        <w:drawing>
          <wp:inline distT="0" distB="0" distL="0" distR="0" wp14:anchorId="472945F1" wp14:editId="6D8D59BE">
            <wp:extent cx="1333500" cy="516732"/>
            <wp:effectExtent l="0" t="0" r="0" b="0"/>
            <wp:docPr id="211853356" name="Picture 211853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53356" name=""/>
                    <pic:cNvPicPr/>
                  </pic:nvPicPr>
                  <pic:blipFill>
                    <a:blip r:embed="rId10"/>
                    <a:stretch>
                      <a:fillRect/>
                    </a:stretch>
                  </pic:blipFill>
                  <pic:spPr>
                    <a:xfrm>
                      <a:off x="0" y="0"/>
                      <a:ext cx="1343408" cy="520572"/>
                    </a:xfrm>
                    <a:prstGeom prst="rect">
                      <a:avLst/>
                    </a:prstGeom>
                  </pic:spPr>
                </pic:pic>
              </a:graphicData>
            </a:graphic>
          </wp:inline>
        </w:drawing>
      </w:r>
    </w:p>
    <w:p w14:paraId="02005548" w14:textId="77777777" w:rsidR="00342CF5" w:rsidRDefault="00342CF5" w:rsidP="00654748">
      <w:pPr>
        <w:spacing w:line="256" w:lineRule="auto"/>
        <w:jc w:val="center"/>
        <w:rPr>
          <w:rFonts w:ascii="Arial" w:hAnsi="Arial" w:cs="Arial"/>
          <w:b/>
          <w:szCs w:val="36"/>
        </w:rPr>
      </w:pPr>
    </w:p>
    <w:p w14:paraId="6829CBC4" w14:textId="389AEC24" w:rsidR="00654748" w:rsidRPr="00654748" w:rsidRDefault="00654748" w:rsidP="00654748">
      <w:pPr>
        <w:spacing w:line="256" w:lineRule="auto"/>
        <w:jc w:val="center"/>
        <w:rPr>
          <w:rFonts w:ascii="Arial" w:hAnsi="Arial" w:cs="Arial"/>
          <w:b/>
          <w:szCs w:val="36"/>
        </w:rPr>
      </w:pPr>
    </w:p>
    <w:p w14:paraId="5736713D" w14:textId="77777777" w:rsidR="009F6F93" w:rsidRDefault="009F6F93" w:rsidP="00C274CD">
      <w:pPr>
        <w:spacing w:after="60"/>
        <w:jc w:val="center"/>
        <w:rPr>
          <w:b/>
          <w:sz w:val="28"/>
        </w:rPr>
        <w:sectPr w:rsidR="009F6F93" w:rsidSect="004213CC">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pgBorders w:display="firstPage" w:offsetFrom="page">
            <w:top w:val="single" w:sz="48" w:space="24" w:color="008000"/>
            <w:left w:val="single" w:sz="48" w:space="24" w:color="008000"/>
            <w:bottom w:val="single" w:sz="48" w:space="24" w:color="008000"/>
            <w:right w:val="single" w:sz="48" w:space="24" w:color="008000"/>
          </w:pgBorders>
          <w:cols w:space="720"/>
          <w:titlePg/>
          <w:docGrid w:linePitch="360"/>
        </w:sectPr>
      </w:pPr>
    </w:p>
    <w:p w14:paraId="30616C01" w14:textId="514966D2" w:rsidR="00342CF5" w:rsidRDefault="00342CF5" w:rsidP="00342CF5">
      <w:pPr>
        <w:pBdr>
          <w:top w:val="single" w:sz="36" w:space="1" w:color="008000"/>
          <w:bottom w:val="single" w:sz="36" w:space="1" w:color="008000"/>
        </w:pBdr>
        <w:spacing w:after="60"/>
        <w:jc w:val="center"/>
        <w:rPr>
          <w:b/>
          <w:sz w:val="28"/>
        </w:rPr>
      </w:pPr>
      <w:r>
        <w:rPr>
          <w:b/>
          <w:bCs/>
          <w:noProof/>
          <w:sz w:val="32"/>
          <w:szCs w:val="32"/>
        </w:rPr>
        <w:lastRenderedPageBreak/>
        <w:t>Truckee Donner Public Utility District</w:t>
      </w:r>
      <w:r w:rsidR="000702DE">
        <w:rPr>
          <w:b/>
          <w:sz w:val="28"/>
        </w:rPr>
        <w:t xml:space="preserve">                    </w:t>
      </w:r>
    </w:p>
    <w:p w14:paraId="0D39E163" w14:textId="66464211" w:rsidR="0098322A" w:rsidRDefault="000702DE" w:rsidP="00342CF5">
      <w:pPr>
        <w:pBdr>
          <w:top w:val="single" w:sz="36" w:space="1" w:color="008000"/>
          <w:bottom w:val="single" w:sz="36" w:space="1" w:color="008000"/>
        </w:pBdr>
        <w:spacing w:after="60"/>
        <w:jc w:val="center"/>
        <w:rPr>
          <w:b/>
          <w:sz w:val="28"/>
        </w:rPr>
      </w:pPr>
      <w:r>
        <w:rPr>
          <w:b/>
          <w:sz w:val="28"/>
        </w:rPr>
        <w:t xml:space="preserve"> </w:t>
      </w:r>
      <w:r w:rsidR="00342CF5">
        <w:rPr>
          <w:b/>
          <w:sz w:val="28"/>
        </w:rPr>
        <w:t>2023</w:t>
      </w:r>
      <w:r w:rsidR="00DA772C">
        <w:rPr>
          <w:b/>
          <w:sz w:val="28"/>
        </w:rPr>
        <w:t xml:space="preserve"> Integrated Resource Plan </w:t>
      </w:r>
    </w:p>
    <w:p w14:paraId="00884266" w14:textId="77777777" w:rsidR="00563BCD" w:rsidRDefault="00563BCD" w:rsidP="00C274CD">
      <w:pPr>
        <w:jc w:val="center"/>
        <w:rPr>
          <w:b/>
          <w:sz w:val="28"/>
        </w:rPr>
      </w:pPr>
    </w:p>
    <w:sdt>
      <w:sdtPr>
        <w:rPr>
          <w:rFonts w:asciiTheme="minorHAnsi" w:eastAsiaTheme="minorHAnsi" w:hAnsiTheme="minorHAnsi" w:cstheme="minorBidi"/>
          <w:b w:val="0"/>
          <w:bCs w:val="0"/>
          <w:color w:val="auto"/>
          <w:sz w:val="22"/>
          <w:szCs w:val="22"/>
          <w:lang w:eastAsia="en-US"/>
        </w:rPr>
        <w:id w:val="-1209330455"/>
        <w:docPartObj>
          <w:docPartGallery w:val="Table of Contents"/>
          <w:docPartUnique/>
        </w:docPartObj>
      </w:sdtPr>
      <w:sdtEndPr>
        <w:rPr>
          <w:rFonts w:eastAsia="Times New Roman" w:cs="Times New Roman"/>
          <w:noProof/>
          <w:sz w:val="24"/>
          <w:szCs w:val="24"/>
        </w:rPr>
      </w:sdtEndPr>
      <w:sdtContent>
        <w:p w14:paraId="5D49F280" w14:textId="5BDA8661" w:rsidR="00C274CD" w:rsidRPr="00C274CD" w:rsidRDefault="0093340A" w:rsidP="00DB190B">
          <w:pPr>
            <w:pStyle w:val="TOCHeading"/>
            <w:jc w:val="center"/>
            <w:rPr>
              <w:rFonts w:asciiTheme="minorHAnsi" w:hAnsiTheme="minorHAnsi" w:cstheme="minorHAnsi"/>
              <w:color w:val="000000" w:themeColor="text1"/>
              <w:sz w:val="24"/>
              <w:szCs w:val="24"/>
            </w:rPr>
          </w:pPr>
          <w:r w:rsidRPr="00874A11">
            <w:rPr>
              <w:rFonts w:asciiTheme="minorHAnsi" w:hAnsiTheme="minorHAnsi" w:cstheme="minorHAnsi"/>
              <w:color w:val="000000" w:themeColor="text1"/>
              <w:sz w:val="24"/>
              <w:szCs w:val="24"/>
            </w:rPr>
            <w:t xml:space="preserve">Table of </w:t>
          </w:r>
          <w:r w:rsidR="00C274CD" w:rsidRPr="00C274CD">
            <w:rPr>
              <w:rFonts w:asciiTheme="minorHAnsi" w:hAnsiTheme="minorHAnsi" w:cstheme="minorHAnsi"/>
              <w:color w:val="000000" w:themeColor="text1"/>
              <w:sz w:val="24"/>
              <w:szCs w:val="24"/>
            </w:rPr>
            <w:t>Contents</w:t>
          </w:r>
        </w:p>
        <w:p w14:paraId="296C1A77" w14:textId="406F3F40" w:rsidR="002B4B1E" w:rsidRDefault="00C274CD">
          <w:pPr>
            <w:pStyle w:val="TOC1"/>
            <w:rPr>
              <w:rFonts w:eastAsiaTheme="minorEastAsia"/>
              <w:noProof/>
              <w:kern w:val="2"/>
              <w14:ligatures w14:val="standardContextual"/>
            </w:rPr>
          </w:pPr>
          <w:r>
            <w:fldChar w:fldCharType="begin"/>
          </w:r>
          <w:r>
            <w:instrText xml:space="preserve"> TOC \o "1-3" \h \z \u </w:instrText>
          </w:r>
          <w:r>
            <w:fldChar w:fldCharType="separate"/>
          </w:r>
          <w:hyperlink w:anchor="_Toc153451638" w:history="1">
            <w:r w:rsidR="002B4B1E" w:rsidRPr="00397568">
              <w:rPr>
                <w:rStyle w:val="Hyperlink"/>
                <w:noProof/>
              </w:rPr>
              <w:t>Executive Summary</w:t>
            </w:r>
            <w:r w:rsidR="002B4B1E">
              <w:rPr>
                <w:noProof/>
                <w:webHidden/>
              </w:rPr>
              <w:tab/>
            </w:r>
            <w:r w:rsidR="002B4B1E">
              <w:rPr>
                <w:noProof/>
                <w:webHidden/>
              </w:rPr>
              <w:fldChar w:fldCharType="begin"/>
            </w:r>
            <w:r w:rsidR="002B4B1E">
              <w:rPr>
                <w:noProof/>
                <w:webHidden/>
              </w:rPr>
              <w:instrText xml:space="preserve"> PAGEREF _Toc153451638 \h </w:instrText>
            </w:r>
            <w:r w:rsidR="002B4B1E">
              <w:rPr>
                <w:noProof/>
                <w:webHidden/>
              </w:rPr>
            </w:r>
            <w:r w:rsidR="002B4B1E">
              <w:rPr>
                <w:noProof/>
                <w:webHidden/>
              </w:rPr>
              <w:fldChar w:fldCharType="separate"/>
            </w:r>
            <w:r w:rsidR="002B4B1E">
              <w:rPr>
                <w:noProof/>
                <w:webHidden/>
              </w:rPr>
              <w:t>2</w:t>
            </w:r>
            <w:r w:rsidR="002B4B1E">
              <w:rPr>
                <w:noProof/>
                <w:webHidden/>
              </w:rPr>
              <w:fldChar w:fldCharType="end"/>
            </w:r>
          </w:hyperlink>
        </w:p>
        <w:p w14:paraId="334021D2" w14:textId="076DA1AD" w:rsidR="002B4B1E" w:rsidRDefault="00B65391">
          <w:pPr>
            <w:pStyle w:val="TOC1"/>
            <w:rPr>
              <w:rFonts w:eastAsiaTheme="minorEastAsia"/>
              <w:noProof/>
              <w:kern w:val="2"/>
              <w14:ligatures w14:val="standardContextual"/>
            </w:rPr>
          </w:pPr>
          <w:hyperlink w:anchor="_Toc153451639" w:history="1">
            <w:r w:rsidR="002B4B1E" w:rsidRPr="00397568">
              <w:rPr>
                <w:rStyle w:val="Hyperlink"/>
                <w:noProof/>
              </w:rPr>
              <w:t>Introduction and Purpose</w:t>
            </w:r>
            <w:r w:rsidR="002B4B1E">
              <w:rPr>
                <w:noProof/>
                <w:webHidden/>
              </w:rPr>
              <w:tab/>
            </w:r>
            <w:r w:rsidR="002B4B1E">
              <w:rPr>
                <w:noProof/>
                <w:webHidden/>
              </w:rPr>
              <w:fldChar w:fldCharType="begin"/>
            </w:r>
            <w:r w:rsidR="002B4B1E">
              <w:rPr>
                <w:noProof/>
                <w:webHidden/>
              </w:rPr>
              <w:instrText xml:space="preserve"> PAGEREF _Toc153451639 \h </w:instrText>
            </w:r>
            <w:r w:rsidR="002B4B1E">
              <w:rPr>
                <w:noProof/>
                <w:webHidden/>
              </w:rPr>
            </w:r>
            <w:r w:rsidR="002B4B1E">
              <w:rPr>
                <w:noProof/>
                <w:webHidden/>
              </w:rPr>
              <w:fldChar w:fldCharType="separate"/>
            </w:r>
            <w:r w:rsidR="002B4B1E">
              <w:rPr>
                <w:noProof/>
                <w:webHidden/>
              </w:rPr>
              <w:t>4</w:t>
            </w:r>
            <w:r w:rsidR="002B4B1E">
              <w:rPr>
                <w:noProof/>
                <w:webHidden/>
              </w:rPr>
              <w:fldChar w:fldCharType="end"/>
            </w:r>
          </w:hyperlink>
        </w:p>
        <w:p w14:paraId="3E5E4B6B" w14:textId="480673FF" w:rsidR="002B4B1E" w:rsidRDefault="00B65391">
          <w:pPr>
            <w:pStyle w:val="TOC1"/>
            <w:rPr>
              <w:rFonts w:eastAsiaTheme="minorEastAsia"/>
              <w:noProof/>
              <w:kern w:val="2"/>
              <w14:ligatures w14:val="standardContextual"/>
            </w:rPr>
          </w:pPr>
          <w:hyperlink w:anchor="_Toc153451640" w:history="1">
            <w:r w:rsidR="002B4B1E" w:rsidRPr="00397568">
              <w:rPr>
                <w:rStyle w:val="Hyperlink"/>
                <w:noProof/>
              </w:rPr>
              <w:t>Load Forecast</w:t>
            </w:r>
            <w:r w:rsidR="002B4B1E">
              <w:rPr>
                <w:noProof/>
                <w:webHidden/>
              </w:rPr>
              <w:tab/>
            </w:r>
            <w:r w:rsidR="002B4B1E">
              <w:rPr>
                <w:noProof/>
                <w:webHidden/>
              </w:rPr>
              <w:fldChar w:fldCharType="begin"/>
            </w:r>
            <w:r w:rsidR="002B4B1E">
              <w:rPr>
                <w:noProof/>
                <w:webHidden/>
              </w:rPr>
              <w:instrText xml:space="preserve"> PAGEREF _Toc153451640 \h </w:instrText>
            </w:r>
            <w:r w:rsidR="002B4B1E">
              <w:rPr>
                <w:noProof/>
                <w:webHidden/>
              </w:rPr>
            </w:r>
            <w:r w:rsidR="002B4B1E">
              <w:rPr>
                <w:noProof/>
                <w:webHidden/>
              </w:rPr>
              <w:fldChar w:fldCharType="separate"/>
            </w:r>
            <w:r w:rsidR="002B4B1E">
              <w:rPr>
                <w:noProof/>
                <w:webHidden/>
              </w:rPr>
              <w:t>6</w:t>
            </w:r>
            <w:r w:rsidR="002B4B1E">
              <w:rPr>
                <w:noProof/>
                <w:webHidden/>
              </w:rPr>
              <w:fldChar w:fldCharType="end"/>
            </w:r>
          </w:hyperlink>
        </w:p>
        <w:p w14:paraId="42802D10" w14:textId="405C3C94" w:rsidR="002B4B1E" w:rsidRDefault="00B65391">
          <w:pPr>
            <w:pStyle w:val="TOC2"/>
            <w:rPr>
              <w:rFonts w:eastAsiaTheme="minorEastAsia"/>
              <w:noProof/>
              <w:kern w:val="2"/>
              <w14:ligatures w14:val="standardContextual"/>
            </w:rPr>
          </w:pPr>
          <w:hyperlink w:anchor="_Toc153451641" w:history="1">
            <w:r w:rsidR="002B4B1E" w:rsidRPr="00397568">
              <w:rPr>
                <w:rStyle w:val="Hyperlink"/>
                <w:noProof/>
              </w:rPr>
              <w:t>Overview</w:t>
            </w:r>
            <w:r w:rsidR="002B4B1E">
              <w:rPr>
                <w:noProof/>
                <w:webHidden/>
              </w:rPr>
              <w:tab/>
            </w:r>
            <w:r w:rsidR="002B4B1E">
              <w:rPr>
                <w:noProof/>
                <w:webHidden/>
              </w:rPr>
              <w:fldChar w:fldCharType="begin"/>
            </w:r>
            <w:r w:rsidR="002B4B1E">
              <w:rPr>
                <w:noProof/>
                <w:webHidden/>
              </w:rPr>
              <w:instrText xml:space="preserve"> PAGEREF _Toc153451641 \h </w:instrText>
            </w:r>
            <w:r w:rsidR="002B4B1E">
              <w:rPr>
                <w:noProof/>
                <w:webHidden/>
              </w:rPr>
            </w:r>
            <w:r w:rsidR="002B4B1E">
              <w:rPr>
                <w:noProof/>
                <w:webHidden/>
              </w:rPr>
              <w:fldChar w:fldCharType="separate"/>
            </w:r>
            <w:r w:rsidR="002B4B1E">
              <w:rPr>
                <w:noProof/>
                <w:webHidden/>
              </w:rPr>
              <w:t>6</w:t>
            </w:r>
            <w:r w:rsidR="002B4B1E">
              <w:rPr>
                <w:noProof/>
                <w:webHidden/>
              </w:rPr>
              <w:fldChar w:fldCharType="end"/>
            </w:r>
          </w:hyperlink>
        </w:p>
        <w:p w14:paraId="4A4D913C" w14:textId="1909A1C6" w:rsidR="002B4B1E" w:rsidRDefault="00B65391">
          <w:pPr>
            <w:pStyle w:val="TOC2"/>
            <w:rPr>
              <w:rFonts w:eastAsiaTheme="minorEastAsia"/>
              <w:noProof/>
              <w:kern w:val="2"/>
              <w14:ligatures w14:val="standardContextual"/>
            </w:rPr>
          </w:pPr>
          <w:hyperlink w:anchor="_Toc153451642" w:history="1">
            <w:r w:rsidR="002B4B1E" w:rsidRPr="00397568">
              <w:rPr>
                <w:rStyle w:val="Hyperlink"/>
                <w:noProof/>
              </w:rPr>
              <w:t>Methodology on Load Modifiers and Sensitivities</w:t>
            </w:r>
            <w:r w:rsidR="002B4B1E">
              <w:rPr>
                <w:noProof/>
                <w:webHidden/>
              </w:rPr>
              <w:tab/>
            </w:r>
            <w:r w:rsidR="002B4B1E">
              <w:rPr>
                <w:noProof/>
                <w:webHidden/>
              </w:rPr>
              <w:fldChar w:fldCharType="begin"/>
            </w:r>
            <w:r w:rsidR="002B4B1E">
              <w:rPr>
                <w:noProof/>
                <w:webHidden/>
              </w:rPr>
              <w:instrText xml:space="preserve"> PAGEREF _Toc153451642 \h </w:instrText>
            </w:r>
            <w:r w:rsidR="002B4B1E">
              <w:rPr>
                <w:noProof/>
                <w:webHidden/>
              </w:rPr>
            </w:r>
            <w:r w:rsidR="002B4B1E">
              <w:rPr>
                <w:noProof/>
                <w:webHidden/>
              </w:rPr>
              <w:fldChar w:fldCharType="separate"/>
            </w:r>
            <w:r w:rsidR="002B4B1E">
              <w:rPr>
                <w:noProof/>
                <w:webHidden/>
              </w:rPr>
              <w:t>8</w:t>
            </w:r>
            <w:r w:rsidR="002B4B1E">
              <w:rPr>
                <w:noProof/>
                <w:webHidden/>
              </w:rPr>
              <w:fldChar w:fldCharType="end"/>
            </w:r>
          </w:hyperlink>
        </w:p>
        <w:p w14:paraId="1CC97D25" w14:textId="52F55B81" w:rsidR="002B4B1E" w:rsidRDefault="00B65391">
          <w:pPr>
            <w:pStyle w:val="TOC2"/>
            <w:rPr>
              <w:rFonts w:eastAsiaTheme="minorEastAsia"/>
              <w:noProof/>
              <w:kern w:val="2"/>
              <w14:ligatures w14:val="standardContextual"/>
            </w:rPr>
          </w:pPr>
          <w:hyperlink w:anchor="_Toc153451643" w:history="1">
            <w:r w:rsidR="002B4B1E" w:rsidRPr="00397568">
              <w:rPr>
                <w:rStyle w:val="Hyperlink"/>
                <w:noProof/>
              </w:rPr>
              <w:t>Results and IRP Inputs</w:t>
            </w:r>
            <w:r w:rsidR="002B4B1E">
              <w:rPr>
                <w:noProof/>
                <w:webHidden/>
              </w:rPr>
              <w:tab/>
            </w:r>
            <w:r w:rsidR="002B4B1E">
              <w:rPr>
                <w:noProof/>
                <w:webHidden/>
              </w:rPr>
              <w:fldChar w:fldCharType="begin"/>
            </w:r>
            <w:r w:rsidR="002B4B1E">
              <w:rPr>
                <w:noProof/>
                <w:webHidden/>
              </w:rPr>
              <w:instrText xml:space="preserve"> PAGEREF _Toc153451643 \h </w:instrText>
            </w:r>
            <w:r w:rsidR="002B4B1E">
              <w:rPr>
                <w:noProof/>
                <w:webHidden/>
              </w:rPr>
            </w:r>
            <w:r w:rsidR="002B4B1E">
              <w:rPr>
                <w:noProof/>
                <w:webHidden/>
              </w:rPr>
              <w:fldChar w:fldCharType="separate"/>
            </w:r>
            <w:r w:rsidR="002B4B1E">
              <w:rPr>
                <w:noProof/>
                <w:webHidden/>
              </w:rPr>
              <w:t>12</w:t>
            </w:r>
            <w:r w:rsidR="002B4B1E">
              <w:rPr>
                <w:noProof/>
                <w:webHidden/>
              </w:rPr>
              <w:fldChar w:fldCharType="end"/>
            </w:r>
          </w:hyperlink>
        </w:p>
        <w:p w14:paraId="78D2BFD1" w14:textId="0198DB03" w:rsidR="002B4B1E" w:rsidRDefault="00B65391">
          <w:pPr>
            <w:pStyle w:val="TOC1"/>
            <w:rPr>
              <w:rFonts w:eastAsiaTheme="minorEastAsia"/>
              <w:noProof/>
              <w:kern w:val="2"/>
              <w14:ligatures w14:val="standardContextual"/>
            </w:rPr>
          </w:pPr>
          <w:hyperlink w:anchor="_Toc153451644" w:history="1">
            <w:r w:rsidR="002B4B1E" w:rsidRPr="00397568">
              <w:rPr>
                <w:rStyle w:val="Hyperlink"/>
                <w:noProof/>
              </w:rPr>
              <w:t>Resources</w:t>
            </w:r>
            <w:r w:rsidR="002B4B1E">
              <w:rPr>
                <w:noProof/>
                <w:webHidden/>
              </w:rPr>
              <w:tab/>
            </w:r>
            <w:r w:rsidR="002B4B1E">
              <w:rPr>
                <w:noProof/>
                <w:webHidden/>
              </w:rPr>
              <w:fldChar w:fldCharType="begin"/>
            </w:r>
            <w:r w:rsidR="002B4B1E">
              <w:rPr>
                <w:noProof/>
                <w:webHidden/>
              </w:rPr>
              <w:instrText xml:space="preserve"> PAGEREF _Toc153451644 \h </w:instrText>
            </w:r>
            <w:r w:rsidR="002B4B1E">
              <w:rPr>
                <w:noProof/>
                <w:webHidden/>
              </w:rPr>
            </w:r>
            <w:r w:rsidR="002B4B1E">
              <w:rPr>
                <w:noProof/>
                <w:webHidden/>
              </w:rPr>
              <w:fldChar w:fldCharType="separate"/>
            </w:r>
            <w:r w:rsidR="002B4B1E">
              <w:rPr>
                <w:noProof/>
                <w:webHidden/>
              </w:rPr>
              <w:t>13</w:t>
            </w:r>
            <w:r w:rsidR="002B4B1E">
              <w:rPr>
                <w:noProof/>
                <w:webHidden/>
              </w:rPr>
              <w:fldChar w:fldCharType="end"/>
            </w:r>
          </w:hyperlink>
        </w:p>
        <w:p w14:paraId="4815AACA" w14:textId="32C85E1E" w:rsidR="002B4B1E" w:rsidRDefault="00B65391">
          <w:pPr>
            <w:pStyle w:val="TOC2"/>
            <w:rPr>
              <w:rFonts w:eastAsiaTheme="minorEastAsia"/>
              <w:noProof/>
              <w:kern w:val="2"/>
              <w14:ligatures w14:val="standardContextual"/>
            </w:rPr>
          </w:pPr>
          <w:hyperlink w:anchor="_Toc153451645" w:history="1">
            <w:r w:rsidR="002B4B1E" w:rsidRPr="00397568">
              <w:rPr>
                <w:rStyle w:val="Hyperlink"/>
                <w:noProof/>
              </w:rPr>
              <w:t>Existing Resources</w:t>
            </w:r>
            <w:r w:rsidR="002B4B1E">
              <w:rPr>
                <w:noProof/>
                <w:webHidden/>
              </w:rPr>
              <w:tab/>
            </w:r>
            <w:r w:rsidR="002B4B1E">
              <w:rPr>
                <w:noProof/>
                <w:webHidden/>
              </w:rPr>
              <w:fldChar w:fldCharType="begin"/>
            </w:r>
            <w:r w:rsidR="002B4B1E">
              <w:rPr>
                <w:noProof/>
                <w:webHidden/>
              </w:rPr>
              <w:instrText xml:space="preserve"> PAGEREF _Toc153451645 \h </w:instrText>
            </w:r>
            <w:r w:rsidR="002B4B1E">
              <w:rPr>
                <w:noProof/>
                <w:webHidden/>
              </w:rPr>
            </w:r>
            <w:r w:rsidR="002B4B1E">
              <w:rPr>
                <w:noProof/>
                <w:webHidden/>
              </w:rPr>
              <w:fldChar w:fldCharType="separate"/>
            </w:r>
            <w:r w:rsidR="002B4B1E">
              <w:rPr>
                <w:noProof/>
                <w:webHidden/>
              </w:rPr>
              <w:t>13</w:t>
            </w:r>
            <w:r w:rsidR="002B4B1E">
              <w:rPr>
                <w:noProof/>
                <w:webHidden/>
              </w:rPr>
              <w:fldChar w:fldCharType="end"/>
            </w:r>
          </w:hyperlink>
        </w:p>
        <w:p w14:paraId="0245D696" w14:textId="505F9A9C" w:rsidR="002B4B1E" w:rsidRDefault="00B65391">
          <w:pPr>
            <w:pStyle w:val="TOC2"/>
            <w:rPr>
              <w:rFonts w:eastAsiaTheme="minorEastAsia"/>
              <w:noProof/>
              <w:kern w:val="2"/>
              <w14:ligatures w14:val="standardContextual"/>
            </w:rPr>
          </w:pPr>
          <w:hyperlink w:anchor="_Toc153451646" w:history="1">
            <w:r w:rsidR="002B4B1E" w:rsidRPr="00397568">
              <w:rPr>
                <w:rStyle w:val="Hyperlink"/>
                <w:noProof/>
              </w:rPr>
              <w:t>Future Resources</w:t>
            </w:r>
            <w:r w:rsidR="002B4B1E">
              <w:rPr>
                <w:noProof/>
                <w:webHidden/>
              </w:rPr>
              <w:tab/>
            </w:r>
            <w:r w:rsidR="002B4B1E">
              <w:rPr>
                <w:noProof/>
                <w:webHidden/>
              </w:rPr>
              <w:fldChar w:fldCharType="begin"/>
            </w:r>
            <w:r w:rsidR="002B4B1E">
              <w:rPr>
                <w:noProof/>
                <w:webHidden/>
              </w:rPr>
              <w:instrText xml:space="preserve"> PAGEREF _Toc153451646 \h </w:instrText>
            </w:r>
            <w:r w:rsidR="002B4B1E">
              <w:rPr>
                <w:noProof/>
                <w:webHidden/>
              </w:rPr>
            </w:r>
            <w:r w:rsidR="002B4B1E">
              <w:rPr>
                <w:noProof/>
                <w:webHidden/>
              </w:rPr>
              <w:fldChar w:fldCharType="separate"/>
            </w:r>
            <w:r w:rsidR="002B4B1E">
              <w:rPr>
                <w:noProof/>
                <w:webHidden/>
              </w:rPr>
              <w:t>15</w:t>
            </w:r>
            <w:r w:rsidR="002B4B1E">
              <w:rPr>
                <w:noProof/>
                <w:webHidden/>
              </w:rPr>
              <w:fldChar w:fldCharType="end"/>
            </w:r>
          </w:hyperlink>
        </w:p>
        <w:p w14:paraId="4C45EBBE" w14:textId="16185772" w:rsidR="002B4B1E" w:rsidRDefault="00B65391">
          <w:pPr>
            <w:pStyle w:val="TOC2"/>
            <w:rPr>
              <w:rFonts w:eastAsiaTheme="minorEastAsia"/>
              <w:noProof/>
              <w:kern w:val="2"/>
              <w14:ligatures w14:val="standardContextual"/>
            </w:rPr>
          </w:pPr>
          <w:hyperlink w:anchor="_Toc153451647" w:history="1">
            <w:r w:rsidR="002B4B1E" w:rsidRPr="00397568">
              <w:rPr>
                <w:rStyle w:val="Hyperlink"/>
                <w:noProof/>
              </w:rPr>
              <w:t>IRP Model Features and Key Assumptions</w:t>
            </w:r>
            <w:r w:rsidR="002B4B1E">
              <w:rPr>
                <w:noProof/>
                <w:webHidden/>
              </w:rPr>
              <w:tab/>
            </w:r>
            <w:r w:rsidR="002B4B1E">
              <w:rPr>
                <w:noProof/>
                <w:webHidden/>
              </w:rPr>
              <w:fldChar w:fldCharType="begin"/>
            </w:r>
            <w:r w:rsidR="002B4B1E">
              <w:rPr>
                <w:noProof/>
                <w:webHidden/>
              </w:rPr>
              <w:instrText xml:space="preserve"> PAGEREF _Toc153451647 \h </w:instrText>
            </w:r>
            <w:r w:rsidR="002B4B1E">
              <w:rPr>
                <w:noProof/>
                <w:webHidden/>
              </w:rPr>
            </w:r>
            <w:r w:rsidR="002B4B1E">
              <w:rPr>
                <w:noProof/>
                <w:webHidden/>
              </w:rPr>
              <w:fldChar w:fldCharType="separate"/>
            </w:r>
            <w:r w:rsidR="002B4B1E">
              <w:rPr>
                <w:noProof/>
                <w:webHidden/>
              </w:rPr>
              <w:t>17</w:t>
            </w:r>
            <w:r w:rsidR="002B4B1E">
              <w:rPr>
                <w:noProof/>
                <w:webHidden/>
              </w:rPr>
              <w:fldChar w:fldCharType="end"/>
            </w:r>
          </w:hyperlink>
        </w:p>
        <w:p w14:paraId="3171BB28" w14:textId="59672E37" w:rsidR="002B4B1E" w:rsidRDefault="00B65391">
          <w:pPr>
            <w:pStyle w:val="TOC1"/>
            <w:rPr>
              <w:rFonts w:eastAsiaTheme="minorEastAsia"/>
              <w:noProof/>
              <w:kern w:val="2"/>
              <w14:ligatures w14:val="standardContextual"/>
            </w:rPr>
          </w:pPr>
          <w:hyperlink w:anchor="_Toc153451648" w:history="1">
            <w:r w:rsidR="002B4B1E" w:rsidRPr="00397568">
              <w:rPr>
                <w:rStyle w:val="Hyperlink"/>
                <w:noProof/>
              </w:rPr>
              <w:t>Load-Resource Balance Cost Primary Scenarios</w:t>
            </w:r>
            <w:r w:rsidR="002B4B1E">
              <w:rPr>
                <w:noProof/>
                <w:webHidden/>
              </w:rPr>
              <w:tab/>
            </w:r>
            <w:r w:rsidR="002B4B1E">
              <w:rPr>
                <w:noProof/>
                <w:webHidden/>
              </w:rPr>
              <w:fldChar w:fldCharType="begin"/>
            </w:r>
            <w:r w:rsidR="002B4B1E">
              <w:rPr>
                <w:noProof/>
                <w:webHidden/>
              </w:rPr>
              <w:instrText xml:space="preserve"> PAGEREF _Toc153451648 \h </w:instrText>
            </w:r>
            <w:r w:rsidR="002B4B1E">
              <w:rPr>
                <w:noProof/>
                <w:webHidden/>
              </w:rPr>
            </w:r>
            <w:r w:rsidR="002B4B1E">
              <w:rPr>
                <w:noProof/>
                <w:webHidden/>
              </w:rPr>
              <w:fldChar w:fldCharType="separate"/>
            </w:r>
            <w:r w:rsidR="002B4B1E">
              <w:rPr>
                <w:noProof/>
                <w:webHidden/>
              </w:rPr>
              <w:t>21</w:t>
            </w:r>
            <w:r w:rsidR="002B4B1E">
              <w:rPr>
                <w:noProof/>
                <w:webHidden/>
              </w:rPr>
              <w:fldChar w:fldCharType="end"/>
            </w:r>
          </w:hyperlink>
        </w:p>
        <w:p w14:paraId="7325C3EC" w14:textId="1D181848" w:rsidR="002B4B1E" w:rsidRDefault="00B65391">
          <w:pPr>
            <w:pStyle w:val="TOC2"/>
            <w:rPr>
              <w:rFonts w:eastAsiaTheme="minorEastAsia"/>
              <w:noProof/>
              <w:kern w:val="2"/>
              <w14:ligatures w14:val="standardContextual"/>
            </w:rPr>
          </w:pPr>
          <w:hyperlink w:anchor="_Toc153451649" w:history="1">
            <w:r w:rsidR="002B4B1E" w:rsidRPr="00397568">
              <w:rPr>
                <w:rStyle w:val="Hyperlink"/>
                <w:noProof/>
              </w:rPr>
              <w:t>Overview of IRP Methodology</w:t>
            </w:r>
            <w:r w:rsidR="002B4B1E">
              <w:rPr>
                <w:noProof/>
                <w:webHidden/>
              </w:rPr>
              <w:tab/>
            </w:r>
            <w:r w:rsidR="002B4B1E">
              <w:rPr>
                <w:noProof/>
                <w:webHidden/>
              </w:rPr>
              <w:fldChar w:fldCharType="begin"/>
            </w:r>
            <w:r w:rsidR="002B4B1E">
              <w:rPr>
                <w:noProof/>
                <w:webHidden/>
              </w:rPr>
              <w:instrText xml:space="preserve"> PAGEREF _Toc153451649 \h </w:instrText>
            </w:r>
            <w:r w:rsidR="002B4B1E">
              <w:rPr>
                <w:noProof/>
                <w:webHidden/>
              </w:rPr>
            </w:r>
            <w:r w:rsidR="002B4B1E">
              <w:rPr>
                <w:noProof/>
                <w:webHidden/>
              </w:rPr>
              <w:fldChar w:fldCharType="separate"/>
            </w:r>
            <w:r w:rsidR="002B4B1E">
              <w:rPr>
                <w:noProof/>
                <w:webHidden/>
              </w:rPr>
              <w:t>21</w:t>
            </w:r>
            <w:r w:rsidR="002B4B1E">
              <w:rPr>
                <w:noProof/>
                <w:webHidden/>
              </w:rPr>
              <w:fldChar w:fldCharType="end"/>
            </w:r>
          </w:hyperlink>
        </w:p>
        <w:p w14:paraId="0ADA1F23" w14:textId="3212E39C" w:rsidR="002B4B1E" w:rsidRDefault="00B65391">
          <w:pPr>
            <w:pStyle w:val="TOC2"/>
            <w:rPr>
              <w:rFonts w:eastAsiaTheme="minorEastAsia"/>
              <w:noProof/>
              <w:kern w:val="2"/>
              <w14:ligatures w14:val="standardContextual"/>
            </w:rPr>
          </w:pPr>
          <w:hyperlink w:anchor="_Toc153451650" w:history="1">
            <w:r w:rsidR="002B4B1E" w:rsidRPr="00397568">
              <w:rPr>
                <w:rStyle w:val="Hyperlink"/>
                <w:noProof/>
              </w:rPr>
              <w:t>Resource Portfolios</w:t>
            </w:r>
            <w:r w:rsidR="002B4B1E">
              <w:rPr>
                <w:noProof/>
                <w:webHidden/>
              </w:rPr>
              <w:tab/>
            </w:r>
            <w:r w:rsidR="002B4B1E">
              <w:rPr>
                <w:noProof/>
                <w:webHidden/>
              </w:rPr>
              <w:fldChar w:fldCharType="begin"/>
            </w:r>
            <w:r w:rsidR="002B4B1E">
              <w:rPr>
                <w:noProof/>
                <w:webHidden/>
              </w:rPr>
              <w:instrText xml:space="preserve"> PAGEREF _Toc153451650 \h </w:instrText>
            </w:r>
            <w:r w:rsidR="002B4B1E">
              <w:rPr>
                <w:noProof/>
                <w:webHidden/>
              </w:rPr>
            </w:r>
            <w:r w:rsidR="002B4B1E">
              <w:rPr>
                <w:noProof/>
                <w:webHidden/>
              </w:rPr>
              <w:fldChar w:fldCharType="separate"/>
            </w:r>
            <w:r w:rsidR="002B4B1E">
              <w:rPr>
                <w:noProof/>
                <w:webHidden/>
              </w:rPr>
              <w:t>22</w:t>
            </w:r>
            <w:r w:rsidR="002B4B1E">
              <w:rPr>
                <w:noProof/>
                <w:webHidden/>
              </w:rPr>
              <w:fldChar w:fldCharType="end"/>
            </w:r>
          </w:hyperlink>
        </w:p>
        <w:p w14:paraId="6CE9327E" w14:textId="60B58337" w:rsidR="002B4B1E" w:rsidRDefault="00B65391">
          <w:pPr>
            <w:pStyle w:val="TOC2"/>
            <w:rPr>
              <w:rFonts w:eastAsiaTheme="minorEastAsia"/>
              <w:noProof/>
              <w:kern w:val="2"/>
              <w14:ligatures w14:val="standardContextual"/>
            </w:rPr>
          </w:pPr>
          <w:hyperlink w:anchor="_Toc153451651" w:history="1">
            <w:r w:rsidR="002B4B1E" w:rsidRPr="00397568">
              <w:rPr>
                <w:rStyle w:val="Hyperlink"/>
                <w:noProof/>
              </w:rPr>
              <w:t>Sensitivity Analysis</w:t>
            </w:r>
            <w:r w:rsidR="002B4B1E">
              <w:rPr>
                <w:noProof/>
                <w:webHidden/>
              </w:rPr>
              <w:tab/>
            </w:r>
            <w:r w:rsidR="002B4B1E">
              <w:rPr>
                <w:noProof/>
                <w:webHidden/>
              </w:rPr>
              <w:fldChar w:fldCharType="begin"/>
            </w:r>
            <w:r w:rsidR="002B4B1E">
              <w:rPr>
                <w:noProof/>
                <w:webHidden/>
              </w:rPr>
              <w:instrText xml:space="preserve"> PAGEREF _Toc153451651 \h </w:instrText>
            </w:r>
            <w:r w:rsidR="002B4B1E">
              <w:rPr>
                <w:noProof/>
                <w:webHidden/>
              </w:rPr>
            </w:r>
            <w:r w:rsidR="002B4B1E">
              <w:rPr>
                <w:noProof/>
                <w:webHidden/>
              </w:rPr>
              <w:fldChar w:fldCharType="separate"/>
            </w:r>
            <w:r w:rsidR="002B4B1E">
              <w:rPr>
                <w:noProof/>
                <w:webHidden/>
              </w:rPr>
              <w:t>30</w:t>
            </w:r>
            <w:r w:rsidR="002B4B1E">
              <w:rPr>
                <w:noProof/>
                <w:webHidden/>
              </w:rPr>
              <w:fldChar w:fldCharType="end"/>
            </w:r>
          </w:hyperlink>
        </w:p>
        <w:p w14:paraId="4942EF21" w14:textId="476BA41E" w:rsidR="002B4B1E" w:rsidRDefault="00B65391">
          <w:pPr>
            <w:pStyle w:val="TOC1"/>
            <w:rPr>
              <w:rFonts w:eastAsiaTheme="minorEastAsia"/>
              <w:noProof/>
              <w:kern w:val="2"/>
              <w14:ligatures w14:val="standardContextual"/>
            </w:rPr>
          </w:pPr>
          <w:hyperlink w:anchor="_Toc153451652" w:history="1">
            <w:r w:rsidR="002B4B1E" w:rsidRPr="00397568">
              <w:rPr>
                <w:rStyle w:val="Hyperlink"/>
                <w:noProof/>
              </w:rPr>
              <w:t>Conclusion</w:t>
            </w:r>
            <w:r w:rsidR="002B4B1E">
              <w:rPr>
                <w:noProof/>
                <w:webHidden/>
              </w:rPr>
              <w:tab/>
            </w:r>
            <w:r w:rsidR="002B4B1E">
              <w:rPr>
                <w:noProof/>
                <w:webHidden/>
              </w:rPr>
              <w:fldChar w:fldCharType="begin"/>
            </w:r>
            <w:r w:rsidR="002B4B1E">
              <w:rPr>
                <w:noProof/>
                <w:webHidden/>
              </w:rPr>
              <w:instrText xml:space="preserve"> PAGEREF _Toc153451652 \h </w:instrText>
            </w:r>
            <w:r w:rsidR="002B4B1E">
              <w:rPr>
                <w:noProof/>
                <w:webHidden/>
              </w:rPr>
            </w:r>
            <w:r w:rsidR="002B4B1E">
              <w:rPr>
                <w:noProof/>
                <w:webHidden/>
              </w:rPr>
              <w:fldChar w:fldCharType="separate"/>
            </w:r>
            <w:r w:rsidR="002B4B1E">
              <w:rPr>
                <w:noProof/>
                <w:webHidden/>
              </w:rPr>
              <w:t>33</w:t>
            </w:r>
            <w:r w:rsidR="002B4B1E">
              <w:rPr>
                <w:noProof/>
                <w:webHidden/>
              </w:rPr>
              <w:fldChar w:fldCharType="end"/>
            </w:r>
          </w:hyperlink>
        </w:p>
        <w:p w14:paraId="27DC996F" w14:textId="50A1ACF1" w:rsidR="002B4B1E" w:rsidRDefault="00B65391">
          <w:pPr>
            <w:pStyle w:val="TOC1"/>
            <w:rPr>
              <w:rFonts w:eastAsiaTheme="minorEastAsia"/>
              <w:noProof/>
              <w:kern w:val="2"/>
              <w14:ligatures w14:val="standardContextual"/>
            </w:rPr>
          </w:pPr>
          <w:hyperlink w:anchor="_Toc153451653" w:history="1">
            <w:r w:rsidR="002B4B1E" w:rsidRPr="00397568">
              <w:rPr>
                <w:rStyle w:val="Hyperlink"/>
                <w:noProof/>
              </w:rPr>
              <w:t>Appendix A: District’s Compliance with Key State Policy Legislation and Goals</w:t>
            </w:r>
            <w:r w:rsidR="002B4B1E">
              <w:rPr>
                <w:noProof/>
                <w:webHidden/>
              </w:rPr>
              <w:tab/>
            </w:r>
            <w:r w:rsidR="002B4B1E">
              <w:rPr>
                <w:noProof/>
                <w:webHidden/>
              </w:rPr>
              <w:fldChar w:fldCharType="begin"/>
            </w:r>
            <w:r w:rsidR="002B4B1E">
              <w:rPr>
                <w:noProof/>
                <w:webHidden/>
              </w:rPr>
              <w:instrText xml:space="preserve"> PAGEREF _Toc153451653 \h </w:instrText>
            </w:r>
            <w:r w:rsidR="002B4B1E">
              <w:rPr>
                <w:noProof/>
                <w:webHidden/>
              </w:rPr>
            </w:r>
            <w:r w:rsidR="002B4B1E">
              <w:rPr>
                <w:noProof/>
                <w:webHidden/>
              </w:rPr>
              <w:fldChar w:fldCharType="separate"/>
            </w:r>
            <w:r w:rsidR="002B4B1E">
              <w:rPr>
                <w:noProof/>
                <w:webHidden/>
              </w:rPr>
              <w:t>34</w:t>
            </w:r>
            <w:r w:rsidR="002B4B1E">
              <w:rPr>
                <w:noProof/>
                <w:webHidden/>
              </w:rPr>
              <w:fldChar w:fldCharType="end"/>
            </w:r>
          </w:hyperlink>
        </w:p>
        <w:p w14:paraId="54F705FF" w14:textId="0C926EB6" w:rsidR="002B4B1E" w:rsidRDefault="00B65391">
          <w:pPr>
            <w:pStyle w:val="TOC1"/>
            <w:rPr>
              <w:rFonts w:eastAsiaTheme="minorEastAsia"/>
              <w:noProof/>
              <w:kern w:val="2"/>
              <w14:ligatures w14:val="standardContextual"/>
            </w:rPr>
          </w:pPr>
          <w:hyperlink w:anchor="_Toc153451654" w:history="1">
            <w:r w:rsidR="002B4B1E" w:rsidRPr="00397568">
              <w:rPr>
                <w:rStyle w:val="Hyperlink"/>
                <w:noProof/>
              </w:rPr>
              <w:t>Appendix B: Additional IRP Model Assumptions and Findings</w:t>
            </w:r>
            <w:r w:rsidR="002B4B1E">
              <w:rPr>
                <w:noProof/>
                <w:webHidden/>
              </w:rPr>
              <w:tab/>
            </w:r>
            <w:r w:rsidR="002B4B1E">
              <w:rPr>
                <w:noProof/>
                <w:webHidden/>
              </w:rPr>
              <w:fldChar w:fldCharType="begin"/>
            </w:r>
            <w:r w:rsidR="002B4B1E">
              <w:rPr>
                <w:noProof/>
                <w:webHidden/>
              </w:rPr>
              <w:instrText xml:space="preserve"> PAGEREF _Toc153451654 \h </w:instrText>
            </w:r>
            <w:r w:rsidR="002B4B1E">
              <w:rPr>
                <w:noProof/>
                <w:webHidden/>
              </w:rPr>
            </w:r>
            <w:r w:rsidR="002B4B1E">
              <w:rPr>
                <w:noProof/>
                <w:webHidden/>
              </w:rPr>
              <w:fldChar w:fldCharType="separate"/>
            </w:r>
            <w:r w:rsidR="002B4B1E">
              <w:rPr>
                <w:noProof/>
                <w:webHidden/>
              </w:rPr>
              <w:t>36</w:t>
            </w:r>
            <w:r w:rsidR="002B4B1E">
              <w:rPr>
                <w:noProof/>
                <w:webHidden/>
              </w:rPr>
              <w:fldChar w:fldCharType="end"/>
            </w:r>
          </w:hyperlink>
        </w:p>
        <w:p w14:paraId="23ADFD34" w14:textId="08C743BF" w:rsidR="002B4B1E" w:rsidRDefault="00B65391">
          <w:pPr>
            <w:pStyle w:val="TOC1"/>
            <w:rPr>
              <w:rFonts w:eastAsiaTheme="minorEastAsia"/>
              <w:noProof/>
              <w:kern w:val="2"/>
              <w14:ligatures w14:val="standardContextual"/>
            </w:rPr>
          </w:pPr>
          <w:hyperlink w:anchor="_Toc153451655" w:history="1">
            <w:r w:rsidR="002B4B1E" w:rsidRPr="00397568">
              <w:rPr>
                <w:rStyle w:val="Hyperlink"/>
                <w:noProof/>
              </w:rPr>
              <w:t>Appendix C: Additional Load Forecast Methodology</w:t>
            </w:r>
            <w:r w:rsidR="002B4B1E">
              <w:rPr>
                <w:noProof/>
                <w:webHidden/>
              </w:rPr>
              <w:tab/>
            </w:r>
            <w:r w:rsidR="002B4B1E">
              <w:rPr>
                <w:noProof/>
                <w:webHidden/>
              </w:rPr>
              <w:fldChar w:fldCharType="begin"/>
            </w:r>
            <w:r w:rsidR="002B4B1E">
              <w:rPr>
                <w:noProof/>
                <w:webHidden/>
              </w:rPr>
              <w:instrText xml:space="preserve"> PAGEREF _Toc153451655 \h </w:instrText>
            </w:r>
            <w:r w:rsidR="002B4B1E">
              <w:rPr>
                <w:noProof/>
                <w:webHidden/>
              </w:rPr>
            </w:r>
            <w:r w:rsidR="002B4B1E">
              <w:rPr>
                <w:noProof/>
                <w:webHidden/>
              </w:rPr>
              <w:fldChar w:fldCharType="separate"/>
            </w:r>
            <w:r w:rsidR="002B4B1E">
              <w:rPr>
                <w:noProof/>
                <w:webHidden/>
              </w:rPr>
              <w:t>39</w:t>
            </w:r>
            <w:r w:rsidR="002B4B1E">
              <w:rPr>
                <w:noProof/>
                <w:webHidden/>
              </w:rPr>
              <w:fldChar w:fldCharType="end"/>
            </w:r>
          </w:hyperlink>
        </w:p>
        <w:p w14:paraId="64D76724" w14:textId="35461DB5" w:rsidR="002B4B1E" w:rsidRDefault="00B65391">
          <w:pPr>
            <w:pStyle w:val="TOC1"/>
            <w:rPr>
              <w:rFonts w:eastAsiaTheme="minorEastAsia"/>
              <w:noProof/>
              <w:kern w:val="2"/>
              <w14:ligatures w14:val="standardContextual"/>
            </w:rPr>
          </w:pPr>
          <w:hyperlink w:anchor="_Toc153451656" w:history="1">
            <w:r w:rsidR="002B4B1E" w:rsidRPr="00397568">
              <w:rPr>
                <w:rStyle w:val="Hyperlink"/>
                <w:noProof/>
              </w:rPr>
              <w:t>Appendix D: Exploratory Load Scenarios</w:t>
            </w:r>
            <w:r w:rsidR="002B4B1E">
              <w:rPr>
                <w:noProof/>
                <w:webHidden/>
              </w:rPr>
              <w:tab/>
            </w:r>
            <w:r w:rsidR="002B4B1E">
              <w:rPr>
                <w:noProof/>
                <w:webHidden/>
              </w:rPr>
              <w:fldChar w:fldCharType="begin"/>
            </w:r>
            <w:r w:rsidR="002B4B1E">
              <w:rPr>
                <w:noProof/>
                <w:webHidden/>
              </w:rPr>
              <w:instrText xml:space="preserve"> PAGEREF _Toc153451656 \h </w:instrText>
            </w:r>
            <w:r w:rsidR="002B4B1E">
              <w:rPr>
                <w:noProof/>
                <w:webHidden/>
              </w:rPr>
            </w:r>
            <w:r w:rsidR="002B4B1E">
              <w:rPr>
                <w:noProof/>
                <w:webHidden/>
              </w:rPr>
              <w:fldChar w:fldCharType="separate"/>
            </w:r>
            <w:r w:rsidR="002B4B1E">
              <w:rPr>
                <w:noProof/>
                <w:webHidden/>
              </w:rPr>
              <w:t>41</w:t>
            </w:r>
            <w:r w:rsidR="002B4B1E">
              <w:rPr>
                <w:noProof/>
                <w:webHidden/>
              </w:rPr>
              <w:fldChar w:fldCharType="end"/>
            </w:r>
          </w:hyperlink>
        </w:p>
        <w:p w14:paraId="369CB336" w14:textId="76C85FB9" w:rsidR="002B4B1E" w:rsidRDefault="00B65391">
          <w:pPr>
            <w:pStyle w:val="TOC1"/>
            <w:rPr>
              <w:rFonts w:eastAsiaTheme="minorEastAsia"/>
              <w:noProof/>
              <w:kern w:val="2"/>
              <w14:ligatures w14:val="standardContextual"/>
            </w:rPr>
          </w:pPr>
          <w:hyperlink w:anchor="_Toc153451657" w:history="1">
            <w:r w:rsidR="002B4B1E" w:rsidRPr="00397568">
              <w:rPr>
                <w:rStyle w:val="Hyperlink"/>
                <w:noProof/>
              </w:rPr>
              <w:t>Appendix E: Acronym List</w:t>
            </w:r>
            <w:r w:rsidR="002B4B1E">
              <w:rPr>
                <w:noProof/>
                <w:webHidden/>
              </w:rPr>
              <w:tab/>
            </w:r>
            <w:r w:rsidR="002B4B1E">
              <w:rPr>
                <w:noProof/>
                <w:webHidden/>
              </w:rPr>
              <w:fldChar w:fldCharType="begin"/>
            </w:r>
            <w:r w:rsidR="002B4B1E">
              <w:rPr>
                <w:noProof/>
                <w:webHidden/>
              </w:rPr>
              <w:instrText xml:space="preserve"> PAGEREF _Toc153451657 \h </w:instrText>
            </w:r>
            <w:r w:rsidR="002B4B1E">
              <w:rPr>
                <w:noProof/>
                <w:webHidden/>
              </w:rPr>
            </w:r>
            <w:r w:rsidR="002B4B1E">
              <w:rPr>
                <w:noProof/>
                <w:webHidden/>
              </w:rPr>
              <w:fldChar w:fldCharType="separate"/>
            </w:r>
            <w:r w:rsidR="002B4B1E">
              <w:rPr>
                <w:noProof/>
                <w:webHidden/>
              </w:rPr>
              <w:t>42</w:t>
            </w:r>
            <w:r w:rsidR="002B4B1E">
              <w:rPr>
                <w:noProof/>
                <w:webHidden/>
              </w:rPr>
              <w:fldChar w:fldCharType="end"/>
            </w:r>
          </w:hyperlink>
        </w:p>
        <w:p w14:paraId="63BAC3A1" w14:textId="3493DE02" w:rsidR="0098322A" w:rsidRDefault="00C274CD">
          <w:pPr>
            <w:rPr>
              <w:b/>
              <w:bCs/>
              <w:noProof/>
            </w:rPr>
          </w:pPr>
          <w:r>
            <w:rPr>
              <w:b/>
              <w:bCs/>
              <w:noProof/>
            </w:rPr>
            <w:fldChar w:fldCharType="end"/>
          </w:r>
        </w:p>
        <w:p w14:paraId="0EEFE2F0" w14:textId="77777777" w:rsidR="0098322A" w:rsidRDefault="0098322A">
          <w:pPr>
            <w:rPr>
              <w:b/>
              <w:bCs/>
              <w:noProof/>
            </w:rPr>
          </w:pPr>
        </w:p>
        <w:p w14:paraId="23E1D6CC" w14:textId="7226389B" w:rsidR="00654748" w:rsidRDefault="00B65391">
          <w:pPr>
            <w:rPr>
              <w:noProof/>
            </w:rPr>
          </w:pPr>
        </w:p>
      </w:sdtContent>
    </w:sdt>
    <w:p w14:paraId="29FA2022" w14:textId="77777777" w:rsidR="00654748" w:rsidRDefault="000702DE">
      <w:pPr>
        <w:sectPr w:rsidR="00654748" w:rsidSect="0098322A">
          <w:headerReference w:type="even" r:id="rId17"/>
          <w:headerReference w:type="default" r:id="rId18"/>
          <w:footerReference w:type="default" r:id="rId19"/>
          <w:headerReference w:type="first" r:id="rId20"/>
          <w:pgSz w:w="12240" w:h="15840"/>
          <w:pgMar w:top="1440" w:right="1440" w:bottom="1440" w:left="1440" w:header="720" w:footer="720" w:gutter="0"/>
          <w:pgNumType w:fmt="lowerRoman" w:start="1"/>
          <w:cols w:space="720"/>
          <w:docGrid w:linePitch="360"/>
        </w:sectPr>
      </w:pPr>
      <w:r>
        <w:t xml:space="preserve"> </w:t>
      </w:r>
    </w:p>
    <w:p w14:paraId="60012ED2" w14:textId="286E21E8" w:rsidR="0042314C" w:rsidRDefault="0042314C" w:rsidP="0042314C">
      <w:pPr>
        <w:spacing w:after="60"/>
        <w:jc w:val="center"/>
        <w:rPr>
          <w:b/>
          <w:sz w:val="28"/>
        </w:rPr>
      </w:pPr>
      <w:r>
        <w:rPr>
          <w:b/>
          <w:bCs/>
          <w:noProof/>
          <w:sz w:val="32"/>
          <w:szCs w:val="32"/>
        </w:rPr>
        <w:lastRenderedPageBreak/>
        <w:t>Truckee Donner Public Utility District</w:t>
      </w:r>
    </w:p>
    <w:p w14:paraId="1AE68530" w14:textId="77777777" w:rsidR="006B1E3F" w:rsidRDefault="0042314C" w:rsidP="006B1E3F">
      <w:pPr>
        <w:spacing w:after="60"/>
        <w:ind w:left="3600" w:hanging="630"/>
        <w:rPr>
          <w:color w:val="FFFFFF" w:themeColor="background1"/>
        </w:rPr>
      </w:pPr>
      <w:r>
        <w:rPr>
          <w:b/>
          <w:sz w:val="28"/>
        </w:rPr>
        <w:t>2023</w:t>
      </w:r>
      <w:r w:rsidR="006A736B" w:rsidRPr="006A736B">
        <w:rPr>
          <w:b/>
          <w:sz w:val="28"/>
        </w:rPr>
        <w:t xml:space="preserve"> Integrated Resource Plan </w:t>
      </w:r>
      <w:r w:rsidR="00C274CD" w:rsidRPr="00805634">
        <w:rPr>
          <w:color w:val="FFFFFF" w:themeColor="background1"/>
        </w:rPr>
        <w:t>In</w:t>
      </w:r>
    </w:p>
    <w:p w14:paraId="3488C28D" w14:textId="58C343F5" w:rsidR="002C3A10" w:rsidRPr="00805634" w:rsidRDefault="002C3A10" w:rsidP="002C3A10">
      <w:pPr>
        <w:pStyle w:val="Heading1"/>
        <w:shd w:val="clear" w:color="auto" w:fill="007033"/>
        <w:rPr>
          <w:color w:val="FFFFFF" w:themeColor="background1"/>
        </w:rPr>
      </w:pPr>
      <w:bookmarkStart w:id="0" w:name="_Toc153273281"/>
      <w:bookmarkStart w:id="1" w:name="_Toc153451638"/>
      <w:r>
        <w:rPr>
          <w:color w:val="FFFFFF" w:themeColor="background1"/>
        </w:rPr>
        <w:t>Executive Summary</w:t>
      </w:r>
      <w:bookmarkEnd w:id="0"/>
      <w:bookmarkEnd w:id="1"/>
    </w:p>
    <w:p w14:paraId="529CA965" w14:textId="3AA706B9" w:rsidR="00E32363" w:rsidRDefault="0073212C" w:rsidP="0073212C">
      <w:pPr>
        <w:spacing w:after="60"/>
        <w:jc w:val="both"/>
        <w:rPr>
          <w:color w:val="000000" w:themeColor="text1"/>
        </w:rPr>
      </w:pPr>
      <w:r>
        <w:t>The Truckee Donner Public Utility District (TDPUD or District) commissioned Aspen Environment Group</w:t>
      </w:r>
      <w:r w:rsidR="00E32363">
        <w:t>, along with subcontractors</w:t>
      </w:r>
      <w:r>
        <w:t xml:space="preserve"> Flynn </w:t>
      </w:r>
      <w:r w:rsidR="00A914BD">
        <w:t xml:space="preserve">Resource Consultants Inc. (Flynn </w:t>
      </w:r>
      <w:r>
        <w:t>RCI</w:t>
      </w:r>
      <w:r w:rsidR="00A914BD">
        <w:t>)</w:t>
      </w:r>
      <w:r>
        <w:t xml:space="preserve"> and Better Climate (the Team)</w:t>
      </w:r>
      <w:r w:rsidR="00E32363">
        <w:t>,</w:t>
      </w:r>
      <w:r>
        <w:t xml:space="preserve"> to prepare this first-ever Integrated Resource Plan (IRP) in May 2023.</w:t>
      </w:r>
      <w:r w:rsidR="00C274CD" w:rsidRPr="00805634">
        <w:rPr>
          <w:color w:val="FFFFFF" w:themeColor="background1"/>
        </w:rPr>
        <w:t xml:space="preserve"> </w:t>
      </w:r>
      <w:r>
        <w:rPr>
          <w:color w:val="FFFFFF" w:themeColor="background1"/>
        </w:rPr>
        <w:t xml:space="preserve"> </w:t>
      </w:r>
      <w:r>
        <w:rPr>
          <w:color w:val="000000" w:themeColor="text1"/>
        </w:rPr>
        <w:t>The team met with District Staff to clarify scope and launch the project in July</w:t>
      </w:r>
      <w:r w:rsidR="00E32363">
        <w:rPr>
          <w:color w:val="000000" w:themeColor="text1"/>
        </w:rPr>
        <w:t xml:space="preserve">.  The team requested data and met with staff several times to exchange information and draft results.  This report </w:t>
      </w:r>
      <w:r>
        <w:rPr>
          <w:color w:val="000000" w:themeColor="text1"/>
        </w:rPr>
        <w:t xml:space="preserve">presents </w:t>
      </w:r>
      <w:r w:rsidR="00E32363">
        <w:rPr>
          <w:color w:val="000000" w:themeColor="text1"/>
        </w:rPr>
        <w:t>our</w:t>
      </w:r>
      <w:r>
        <w:rPr>
          <w:color w:val="000000" w:themeColor="text1"/>
        </w:rPr>
        <w:t xml:space="preserve"> analysis and findings. </w:t>
      </w:r>
    </w:p>
    <w:p w14:paraId="2CDF5B60" w14:textId="309A97DE" w:rsidR="00154E06" w:rsidRDefault="0073212C" w:rsidP="0073212C">
      <w:pPr>
        <w:spacing w:after="60"/>
        <w:jc w:val="both"/>
        <w:rPr>
          <w:color w:val="000000" w:themeColor="text1"/>
        </w:rPr>
      </w:pPr>
      <w:r>
        <w:rPr>
          <w:color w:val="000000" w:themeColor="text1"/>
        </w:rPr>
        <w:t xml:space="preserve">The analysis consists of two key parts: the demand forecast and the resource analysis.  We present three main and three alternative demand scenarios, with the alternatives designed to capture additional uncertainty.  </w:t>
      </w:r>
      <w:r w:rsidR="00154E06">
        <w:rPr>
          <w:color w:val="000000" w:themeColor="text1"/>
        </w:rPr>
        <w:t xml:space="preserve">The “mid” case demand forecast reaches </w:t>
      </w:r>
      <w:r w:rsidR="002C3A10">
        <w:rPr>
          <w:color w:val="000000" w:themeColor="text1"/>
        </w:rPr>
        <w:t>247</w:t>
      </w:r>
      <w:r w:rsidR="00154E06">
        <w:rPr>
          <w:color w:val="000000" w:themeColor="text1"/>
        </w:rPr>
        <w:t xml:space="preserve"> </w:t>
      </w:r>
      <w:r w:rsidR="002C3A10">
        <w:rPr>
          <w:color w:val="000000" w:themeColor="text1"/>
        </w:rPr>
        <w:t>G</w:t>
      </w:r>
      <w:r w:rsidR="00154E06">
        <w:rPr>
          <w:color w:val="000000" w:themeColor="text1"/>
        </w:rPr>
        <w:t xml:space="preserve">Wh and </w:t>
      </w:r>
      <w:r w:rsidR="002C3A10">
        <w:rPr>
          <w:color w:val="000000" w:themeColor="text1"/>
        </w:rPr>
        <w:t>47.5</w:t>
      </w:r>
      <w:r w:rsidR="00154E06">
        <w:rPr>
          <w:color w:val="000000" w:themeColor="text1"/>
        </w:rPr>
        <w:t xml:space="preserve"> MW by 2040.  High and low alternatives capture varying degrees of photovoltaic generation behind the customer meter, electric vehicle charging</w:t>
      </w:r>
      <w:r w:rsidR="002C3A10">
        <w:rPr>
          <w:color w:val="000000" w:themeColor="text1"/>
        </w:rPr>
        <w:t xml:space="preserve">, </w:t>
      </w:r>
      <w:r w:rsidR="00154E06">
        <w:rPr>
          <w:color w:val="000000" w:themeColor="text1"/>
        </w:rPr>
        <w:t>building electrification</w:t>
      </w:r>
      <w:r w:rsidR="002C3A10">
        <w:rPr>
          <w:color w:val="000000" w:themeColor="text1"/>
        </w:rPr>
        <w:t xml:space="preserve"> and energy efficiency</w:t>
      </w:r>
      <w:r w:rsidR="00154E06">
        <w:rPr>
          <w:color w:val="000000" w:themeColor="text1"/>
        </w:rPr>
        <w:t xml:space="preserve">. </w:t>
      </w:r>
      <w:r w:rsidR="002C3A10">
        <w:rPr>
          <w:color w:val="000000" w:themeColor="text1"/>
        </w:rPr>
        <w:t xml:space="preserve"> We found the District’s load to have grown in recent years by 2.1%; the low and high demand cases modify that growth rate as well as assumptions for the various additional forecast elements.  We also note that the district, in all cases, remains a winter-peaking utility.  An important implication of this observation is that holding enough resources to be resource adequate in winter means the District will have excess to sell during summer</w:t>
      </w:r>
      <w:r w:rsidR="00E80638">
        <w:rPr>
          <w:color w:val="000000" w:themeColor="text1"/>
        </w:rPr>
        <w:t>, when most of the other utilities in the region reach their peak loads</w:t>
      </w:r>
      <w:r w:rsidR="002C3A10">
        <w:rPr>
          <w:color w:val="000000" w:themeColor="text1"/>
        </w:rPr>
        <w:t xml:space="preserve">. </w:t>
      </w:r>
    </w:p>
    <w:p w14:paraId="6011DAEF" w14:textId="35C0E7BB" w:rsidR="00C274CD" w:rsidRDefault="0073212C" w:rsidP="0073212C">
      <w:pPr>
        <w:spacing w:after="60"/>
        <w:jc w:val="both"/>
        <w:rPr>
          <w:color w:val="FFFFFF" w:themeColor="background1"/>
        </w:rPr>
      </w:pPr>
      <w:r>
        <w:rPr>
          <w:color w:val="000000" w:themeColor="text1"/>
        </w:rPr>
        <w:t xml:space="preserve">On the resource side, we analyze </w:t>
      </w:r>
      <w:r w:rsidR="00154E06">
        <w:rPr>
          <w:color w:val="000000" w:themeColor="text1"/>
        </w:rPr>
        <w:t>five</w:t>
      </w:r>
      <w:r>
        <w:rPr>
          <w:color w:val="000000" w:themeColor="text1"/>
        </w:rPr>
        <w:t xml:space="preserve"> different resource portfolios.  For each, we compute a net present value</w:t>
      </w:r>
      <w:r w:rsidR="00A914BD">
        <w:rPr>
          <w:color w:val="000000" w:themeColor="text1"/>
        </w:rPr>
        <w:t xml:space="preserve"> (NPV)</w:t>
      </w:r>
      <w:r>
        <w:rPr>
          <w:color w:val="000000" w:themeColor="text1"/>
        </w:rPr>
        <w:t xml:space="preserve"> cost</w:t>
      </w:r>
      <w:r w:rsidR="00154E06">
        <w:rPr>
          <w:color w:val="000000" w:themeColor="text1"/>
        </w:rPr>
        <w:t xml:space="preserve"> </w:t>
      </w:r>
      <w:r w:rsidR="00A914BD">
        <w:rPr>
          <w:color w:val="000000" w:themeColor="text1"/>
        </w:rPr>
        <w:t xml:space="preserve">as shown in Table ES-1 below </w:t>
      </w:r>
      <w:r w:rsidR="00154E06">
        <w:rPr>
          <w:color w:val="000000" w:themeColor="text1"/>
        </w:rPr>
        <w:t xml:space="preserve">and evaluate the portfolio to </w:t>
      </w:r>
      <w:r w:rsidR="00E80638">
        <w:rPr>
          <w:color w:val="000000" w:themeColor="text1"/>
        </w:rPr>
        <w:t>en</w:t>
      </w:r>
      <w:r w:rsidR="00154E06">
        <w:rPr>
          <w:color w:val="000000" w:themeColor="text1"/>
        </w:rPr>
        <w:t xml:space="preserve">sure that it meets peak month and hourly load, meets resource adequacy requirements, </w:t>
      </w:r>
      <w:r w:rsidR="002C3A10">
        <w:rPr>
          <w:color w:val="000000" w:themeColor="text1"/>
        </w:rPr>
        <w:t xml:space="preserve">has the required </w:t>
      </w:r>
      <w:r w:rsidR="00154E06">
        <w:rPr>
          <w:color w:val="000000" w:themeColor="text1"/>
        </w:rPr>
        <w:t xml:space="preserve">renewable portfolio </w:t>
      </w:r>
      <w:proofErr w:type="gramStart"/>
      <w:r w:rsidR="00154E06">
        <w:rPr>
          <w:color w:val="000000" w:themeColor="text1"/>
        </w:rPr>
        <w:t>content</w:t>
      </w:r>
      <w:proofErr w:type="gramEnd"/>
      <w:r w:rsidR="00154E06">
        <w:rPr>
          <w:color w:val="000000" w:themeColor="text1"/>
        </w:rPr>
        <w:t xml:space="preserve"> and </w:t>
      </w:r>
      <w:r w:rsidR="002C3A10">
        <w:rPr>
          <w:color w:val="000000" w:themeColor="text1"/>
        </w:rPr>
        <w:t xml:space="preserve">meets </w:t>
      </w:r>
      <w:r w:rsidR="00154E06">
        <w:rPr>
          <w:color w:val="000000" w:themeColor="text1"/>
        </w:rPr>
        <w:t>zero-carbon</w:t>
      </w:r>
      <w:r w:rsidR="002C3A10">
        <w:rPr>
          <w:color w:val="000000" w:themeColor="text1"/>
        </w:rPr>
        <w:t>, or greenhouse gas,</w:t>
      </w:r>
      <w:r w:rsidR="00154E06">
        <w:rPr>
          <w:color w:val="000000" w:themeColor="text1"/>
        </w:rPr>
        <w:t xml:space="preserve"> requirements.</w:t>
      </w:r>
      <w:r w:rsidR="002C3A10">
        <w:rPr>
          <w:color w:val="000000" w:themeColor="text1"/>
        </w:rPr>
        <w:t xml:space="preserve"> </w:t>
      </w:r>
      <w:r w:rsidR="00154E06">
        <w:rPr>
          <w:color w:val="000000" w:themeColor="text1"/>
        </w:rPr>
        <w:t xml:space="preserve"> </w:t>
      </w:r>
    </w:p>
    <w:p w14:paraId="0C8D3763" w14:textId="0FE74582" w:rsidR="00154E06" w:rsidRDefault="00154E06" w:rsidP="001F62EF">
      <w:pPr>
        <w:spacing w:before="120" w:after="120"/>
        <w:jc w:val="center"/>
        <w:rPr>
          <w:b/>
          <w:bCs/>
        </w:rPr>
      </w:pPr>
      <w:r>
        <w:rPr>
          <w:b/>
          <w:bCs/>
        </w:rPr>
        <w:t xml:space="preserve">Table ES-1 </w:t>
      </w:r>
      <w:r w:rsidRPr="00874A11">
        <w:rPr>
          <w:b/>
          <w:bCs/>
        </w:rPr>
        <w:t xml:space="preserve">Scope and Cost </w:t>
      </w:r>
      <w:r>
        <w:rPr>
          <w:b/>
          <w:bCs/>
        </w:rPr>
        <w:t xml:space="preserve">(M$) </w:t>
      </w:r>
      <w:r w:rsidRPr="00874A11">
        <w:rPr>
          <w:b/>
          <w:bCs/>
        </w:rPr>
        <w:t>Performance of Recommended Portfolio Relative to Alternative Portfolios</w:t>
      </w:r>
    </w:p>
    <w:tbl>
      <w:tblPr>
        <w:tblW w:w="9184" w:type="dxa"/>
        <w:tblLook w:val="04A0" w:firstRow="1" w:lastRow="0" w:firstColumn="1" w:lastColumn="0" w:noHBand="0" w:noVBand="1"/>
      </w:tblPr>
      <w:tblGrid>
        <w:gridCol w:w="3414"/>
        <w:gridCol w:w="4451"/>
        <w:gridCol w:w="1319"/>
      </w:tblGrid>
      <w:tr w:rsidR="00154E06" w:rsidRPr="0028259A" w14:paraId="4AA26047" w14:textId="77777777" w:rsidTr="00154E06">
        <w:trPr>
          <w:trHeight w:val="233"/>
        </w:trPr>
        <w:tc>
          <w:tcPr>
            <w:tcW w:w="341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09280EC" w14:textId="77777777" w:rsidR="00154E06" w:rsidRPr="0028259A" w:rsidRDefault="00154E06" w:rsidP="00BD6F43">
            <w:pPr>
              <w:rPr>
                <w:b/>
                <w:bCs/>
                <w:color w:val="000000"/>
                <w:sz w:val="22"/>
                <w:szCs w:val="22"/>
              </w:rPr>
            </w:pPr>
            <w:r w:rsidRPr="0028259A">
              <w:rPr>
                <w:b/>
                <w:bCs/>
                <w:color w:val="000000"/>
                <w:sz w:val="22"/>
                <w:szCs w:val="22"/>
              </w:rPr>
              <w:t>Portfolio Name</w:t>
            </w:r>
          </w:p>
        </w:tc>
        <w:tc>
          <w:tcPr>
            <w:tcW w:w="4451"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2F689ACD" w14:textId="77777777" w:rsidR="00154E06" w:rsidRPr="0028259A" w:rsidRDefault="00154E06" w:rsidP="00BD6F43">
            <w:pPr>
              <w:rPr>
                <w:b/>
                <w:bCs/>
                <w:color w:val="000000"/>
                <w:sz w:val="22"/>
                <w:szCs w:val="22"/>
              </w:rPr>
            </w:pPr>
            <w:r w:rsidRPr="0028259A">
              <w:rPr>
                <w:b/>
                <w:bCs/>
                <w:color w:val="000000"/>
                <w:sz w:val="22"/>
                <w:szCs w:val="22"/>
              </w:rPr>
              <w:t>Portfolio Description</w:t>
            </w:r>
          </w:p>
        </w:tc>
        <w:tc>
          <w:tcPr>
            <w:tcW w:w="1319"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5B0785BC" w14:textId="77777777" w:rsidR="00154E06" w:rsidRPr="0028259A" w:rsidRDefault="00154E06" w:rsidP="00BD6F43">
            <w:pPr>
              <w:rPr>
                <w:b/>
                <w:bCs/>
                <w:color w:val="000000"/>
                <w:sz w:val="22"/>
                <w:szCs w:val="22"/>
              </w:rPr>
            </w:pPr>
            <w:r w:rsidRPr="0028259A">
              <w:rPr>
                <w:b/>
                <w:bCs/>
                <w:color w:val="000000"/>
                <w:sz w:val="22"/>
                <w:szCs w:val="22"/>
              </w:rPr>
              <w:t>NPV (M$)</w:t>
            </w:r>
          </w:p>
        </w:tc>
      </w:tr>
      <w:tr w:rsidR="00154E06" w:rsidRPr="0028259A" w14:paraId="46732A4A" w14:textId="77777777" w:rsidTr="002C3A10">
        <w:trPr>
          <w:trHeight w:val="576"/>
        </w:trPr>
        <w:tc>
          <w:tcPr>
            <w:tcW w:w="3414" w:type="dxa"/>
            <w:tcBorders>
              <w:top w:val="nil"/>
              <w:left w:val="single" w:sz="4" w:space="0" w:color="auto"/>
              <w:bottom w:val="single" w:sz="4" w:space="0" w:color="auto"/>
              <w:right w:val="single" w:sz="4" w:space="0" w:color="auto"/>
            </w:tcBorders>
            <w:shd w:val="clear" w:color="000000" w:fill="C6E0B4"/>
            <w:vAlign w:val="center"/>
            <w:hideMark/>
          </w:tcPr>
          <w:p w14:paraId="52545B9C" w14:textId="4A98AC74" w:rsidR="00154E06" w:rsidRPr="00CC2515" w:rsidRDefault="00154E06" w:rsidP="002C3A10">
            <w:pPr>
              <w:rPr>
                <w:color w:val="000000"/>
                <w:sz w:val="20"/>
                <w:szCs w:val="20"/>
              </w:rPr>
            </w:pPr>
            <w:r w:rsidRPr="00CC2515">
              <w:rPr>
                <w:color w:val="000000"/>
                <w:sz w:val="20"/>
                <w:szCs w:val="20"/>
              </w:rPr>
              <w:t>Recommended</w:t>
            </w:r>
          </w:p>
        </w:tc>
        <w:tc>
          <w:tcPr>
            <w:tcW w:w="4451" w:type="dxa"/>
            <w:tcBorders>
              <w:top w:val="nil"/>
              <w:left w:val="nil"/>
              <w:bottom w:val="single" w:sz="4" w:space="0" w:color="auto"/>
              <w:right w:val="single" w:sz="4" w:space="0" w:color="auto"/>
            </w:tcBorders>
            <w:shd w:val="clear" w:color="000000" w:fill="C6E0B4"/>
            <w:vAlign w:val="center"/>
            <w:hideMark/>
          </w:tcPr>
          <w:p w14:paraId="094B4505" w14:textId="77777777" w:rsidR="00154E06" w:rsidRPr="00CC2515" w:rsidRDefault="00154E06" w:rsidP="00BD6F43">
            <w:pPr>
              <w:rPr>
                <w:color w:val="000000"/>
                <w:sz w:val="20"/>
                <w:szCs w:val="20"/>
              </w:rPr>
            </w:pPr>
            <w:r w:rsidRPr="00CC2515">
              <w:rPr>
                <w:color w:val="000000"/>
                <w:sz w:val="20"/>
                <w:szCs w:val="20"/>
              </w:rPr>
              <w:t>Balanced Portfolio</w:t>
            </w:r>
          </w:p>
        </w:tc>
        <w:tc>
          <w:tcPr>
            <w:tcW w:w="1319" w:type="dxa"/>
            <w:tcBorders>
              <w:top w:val="nil"/>
              <w:left w:val="nil"/>
              <w:bottom w:val="single" w:sz="4" w:space="0" w:color="auto"/>
              <w:right w:val="single" w:sz="4" w:space="0" w:color="auto"/>
            </w:tcBorders>
            <w:shd w:val="clear" w:color="000000" w:fill="C6E0B4"/>
            <w:vAlign w:val="center"/>
            <w:hideMark/>
          </w:tcPr>
          <w:p w14:paraId="27A38006" w14:textId="77777777" w:rsidR="00154E06" w:rsidRPr="00CC2515" w:rsidRDefault="00154E06" w:rsidP="00BD6F43">
            <w:pPr>
              <w:jc w:val="center"/>
              <w:rPr>
                <w:color w:val="000000"/>
                <w:sz w:val="20"/>
                <w:szCs w:val="20"/>
              </w:rPr>
            </w:pPr>
            <w:r w:rsidRPr="00CC2515">
              <w:rPr>
                <w:color w:val="000000"/>
                <w:sz w:val="20"/>
                <w:szCs w:val="20"/>
              </w:rPr>
              <w:t xml:space="preserve">$201.5 </w:t>
            </w:r>
          </w:p>
        </w:tc>
      </w:tr>
      <w:tr w:rsidR="00154E06" w:rsidRPr="0028259A" w14:paraId="7C199CC5" w14:textId="77777777" w:rsidTr="00BD6F43">
        <w:trPr>
          <w:trHeight w:val="468"/>
        </w:trPr>
        <w:tc>
          <w:tcPr>
            <w:tcW w:w="3414" w:type="dxa"/>
            <w:tcBorders>
              <w:top w:val="nil"/>
              <w:left w:val="single" w:sz="4" w:space="0" w:color="auto"/>
              <w:bottom w:val="single" w:sz="4" w:space="0" w:color="auto"/>
              <w:right w:val="single" w:sz="4" w:space="0" w:color="auto"/>
            </w:tcBorders>
            <w:shd w:val="clear" w:color="auto" w:fill="auto"/>
            <w:vAlign w:val="center"/>
            <w:hideMark/>
          </w:tcPr>
          <w:p w14:paraId="4B2A36FE" w14:textId="77777777" w:rsidR="00154E06" w:rsidRPr="00CC2515" w:rsidRDefault="00154E06" w:rsidP="00BD6F43">
            <w:pPr>
              <w:rPr>
                <w:color w:val="000000"/>
                <w:sz w:val="20"/>
                <w:szCs w:val="20"/>
              </w:rPr>
            </w:pPr>
            <w:r w:rsidRPr="00CC2515">
              <w:rPr>
                <w:color w:val="000000"/>
                <w:sz w:val="20"/>
                <w:szCs w:val="20"/>
              </w:rPr>
              <w:t>No New PPA (NNP)</w:t>
            </w:r>
          </w:p>
        </w:tc>
        <w:tc>
          <w:tcPr>
            <w:tcW w:w="4451" w:type="dxa"/>
            <w:tcBorders>
              <w:top w:val="nil"/>
              <w:left w:val="nil"/>
              <w:bottom w:val="single" w:sz="4" w:space="0" w:color="auto"/>
              <w:right w:val="single" w:sz="4" w:space="0" w:color="auto"/>
            </w:tcBorders>
            <w:shd w:val="clear" w:color="auto" w:fill="auto"/>
            <w:vAlign w:val="center"/>
            <w:hideMark/>
          </w:tcPr>
          <w:p w14:paraId="2D8C8D82" w14:textId="77777777" w:rsidR="00154E06" w:rsidRPr="00CC2515" w:rsidRDefault="00154E06" w:rsidP="00BD6F43">
            <w:pPr>
              <w:rPr>
                <w:color w:val="000000"/>
                <w:sz w:val="20"/>
                <w:szCs w:val="20"/>
              </w:rPr>
            </w:pPr>
            <w:r w:rsidRPr="00CC2515">
              <w:rPr>
                <w:color w:val="000000"/>
                <w:sz w:val="20"/>
                <w:szCs w:val="20"/>
              </w:rPr>
              <w:t>No new contracted resources, and rely solely on market purchases for incremental needs</w:t>
            </w:r>
          </w:p>
        </w:tc>
        <w:tc>
          <w:tcPr>
            <w:tcW w:w="1319" w:type="dxa"/>
            <w:tcBorders>
              <w:top w:val="nil"/>
              <w:left w:val="nil"/>
              <w:bottom w:val="single" w:sz="4" w:space="0" w:color="auto"/>
              <w:right w:val="single" w:sz="4" w:space="0" w:color="auto"/>
            </w:tcBorders>
            <w:shd w:val="clear" w:color="auto" w:fill="auto"/>
            <w:vAlign w:val="center"/>
            <w:hideMark/>
          </w:tcPr>
          <w:p w14:paraId="041D88E6" w14:textId="77777777" w:rsidR="00154E06" w:rsidRPr="00CC2515" w:rsidRDefault="00154E06" w:rsidP="00BD6F43">
            <w:pPr>
              <w:jc w:val="center"/>
              <w:rPr>
                <w:color w:val="000000"/>
                <w:sz w:val="20"/>
                <w:szCs w:val="20"/>
              </w:rPr>
            </w:pPr>
            <w:r w:rsidRPr="00CC2515">
              <w:rPr>
                <w:color w:val="000000"/>
                <w:sz w:val="20"/>
                <w:szCs w:val="20"/>
              </w:rPr>
              <w:t xml:space="preserve">$229.0 </w:t>
            </w:r>
          </w:p>
        </w:tc>
      </w:tr>
      <w:tr w:rsidR="00154E06" w:rsidRPr="0028259A" w14:paraId="3E0DCE12" w14:textId="77777777" w:rsidTr="00BD6F43">
        <w:trPr>
          <w:trHeight w:val="940"/>
        </w:trPr>
        <w:tc>
          <w:tcPr>
            <w:tcW w:w="3414" w:type="dxa"/>
            <w:tcBorders>
              <w:top w:val="nil"/>
              <w:left w:val="single" w:sz="4" w:space="0" w:color="auto"/>
              <w:bottom w:val="single" w:sz="4" w:space="0" w:color="auto"/>
              <w:right w:val="single" w:sz="4" w:space="0" w:color="auto"/>
            </w:tcBorders>
            <w:shd w:val="clear" w:color="auto" w:fill="auto"/>
            <w:vAlign w:val="center"/>
            <w:hideMark/>
          </w:tcPr>
          <w:p w14:paraId="7DA01AC3" w14:textId="77777777" w:rsidR="00154E06" w:rsidRPr="00CC2515" w:rsidRDefault="00154E06" w:rsidP="00BD6F43">
            <w:pPr>
              <w:rPr>
                <w:color w:val="000000"/>
                <w:sz w:val="20"/>
                <w:szCs w:val="20"/>
              </w:rPr>
            </w:pPr>
            <w:r w:rsidRPr="00CC2515">
              <w:rPr>
                <w:color w:val="000000"/>
                <w:sz w:val="20"/>
                <w:szCs w:val="20"/>
              </w:rPr>
              <w:t>No CVP, No Stampede</w:t>
            </w:r>
          </w:p>
        </w:tc>
        <w:tc>
          <w:tcPr>
            <w:tcW w:w="4451" w:type="dxa"/>
            <w:tcBorders>
              <w:top w:val="nil"/>
              <w:left w:val="nil"/>
              <w:bottom w:val="single" w:sz="4" w:space="0" w:color="auto"/>
              <w:right w:val="single" w:sz="4" w:space="0" w:color="auto"/>
            </w:tcBorders>
            <w:shd w:val="clear" w:color="auto" w:fill="auto"/>
            <w:vAlign w:val="center"/>
            <w:hideMark/>
          </w:tcPr>
          <w:p w14:paraId="022FABF2" w14:textId="2AF43AB4" w:rsidR="00154E06" w:rsidRPr="00CC2515" w:rsidRDefault="00154E06" w:rsidP="00BD6F43">
            <w:pPr>
              <w:rPr>
                <w:color w:val="000000"/>
                <w:sz w:val="20"/>
                <w:szCs w:val="20"/>
              </w:rPr>
            </w:pPr>
            <w:r w:rsidRPr="00CC2515">
              <w:rPr>
                <w:color w:val="000000"/>
                <w:sz w:val="20"/>
                <w:szCs w:val="20"/>
              </w:rPr>
              <w:t>No CVP, No Stampede, Add 4MW each of new utility-scale solar &amp; 4-hour storage, 1MW of TDPUD storage and 2MW of community solar</w:t>
            </w:r>
          </w:p>
        </w:tc>
        <w:tc>
          <w:tcPr>
            <w:tcW w:w="1319" w:type="dxa"/>
            <w:tcBorders>
              <w:top w:val="nil"/>
              <w:left w:val="nil"/>
              <w:bottom w:val="single" w:sz="4" w:space="0" w:color="auto"/>
              <w:right w:val="single" w:sz="4" w:space="0" w:color="auto"/>
            </w:tcBorders>
            <w:shd w:val="clear" w:color="auto" w:fill="auto"/>
            <w:vAlign w:val="center"/>
            <w:hideMark/>
          </w:tcPr>
          <w:p w14:paraId="79E41530" w14:textId="77777777" w:rsidR="00154E06" w:rsidRPr="00CC2515" w:rsidRDefault="00154E06" w:rsidP="00BD6F43">
            <w:pPr>
              <w:jc w:val="center"/>
              <w:rPr>
                <w:color w:val="000000"/>
                <w:sz w:val="20"/>
                <w:szCs w:val="20"/>
              </w:rPr>
            </w:pPr>
            <w:r w:rsidRPr="00CC2515">
              <w:rPr>
                <w:color w:val="000000"/>
                <w:sz w:val="20"/>
                <w:szCs w:val="20"/>
              </w:rPr>
              <w:t xml:space="preserve">$210.8 </w:t>
            </w:r>
          </w:p>
        </w:tc>
      </w:tr>
      <w:tr w:rsidR="00154E06" w:rsidRPr="0028259A" w14:paraId="435A6F88" w14:textId="77777777" w:rsidTr="00BD6F43">
        <w:trPr>
          <w:trHeight w:val="468"/>
        </w:trPr>
        <w:tc>
          <w:tcPr>
            <w:tcW w:w="3414" w:type="dxa"/>
            <w:tcBorders>
              <w:top w:val="nil"/>
              <w:left w:val="single" w:sz="4" w:space="0" w:color="auto"/>
              <w:bottom w:val="single" w:sz="4" w:space="0" w:color="auto"/>
              <w:right w:val="single" w:sz="4" w:space="0" w:color="auto"/>
            </w:tcBorders>
            <w:shd w:val="clear" w:color="auto" w:fill="auto"/>
            <w:vAlign w:val="center"/>
            <w:hideMark/>
          </w:tcPr>
          <w:p w14:paraId="32A76E38" w14:textId="77777777" w:rsidR="00154E06" w:rsidRPr="00CC2515" w:rsidRDefault="00154E06" w:rsidP="00BD6F43">
            <w:pPr>
              <w:rPr>
                <w:color w:val="000000"/>
                <w:sz w:val="20"/>
                <w:szCs w:val="20"/>
              </w:rPr>
            </w:pPr>
            <w:r w:rsidRPr="00CC2515">
              <w:rPr>
                <w:color w:val="000000"/>
                <w:sz w:val="20"/>
                <w:szCs w:val="20"/>
              </w:rPr>
              <w:t>No Storage, High Geothermal</w:t>
            </w:r>
          </w:p>
        </w:tc>
        <w:tc>
          <w:tcPr>
            <w:tcW w:w="4451" w:type="dxa"/>
            <w:tcBorders>
              <w:top w:val="nil"/>
              <w:left w:val="nil"/>
              <w:bottom w:val="single" w:sz="4" w:space="0" w:color="auto"/>
              <w:right w:val="single" w:sz="4" w:space="0" w:color="auto"/>
            </w:tcBorders>
            <w:shd w:val="clear" w:color="auto" w:fill="auto"/>
            <w:vAlign w:val="center"/>
            <w:hideMark/>
          </w:tcPr>
          <w:p w14:paraId="5C3C207A" w14:textId="77777777" w:rsidR="00154E06" w:rsidRPr="00CC2515" w:rsidRDefault="00154E06" w:rsidP="00BD6F43">
            <w:pPr>
              <w:rPr>
                <w:color w:val="000000"/>
                <w:sz w:val="20"/>
                <w:szCs w:val="20"/>
              </w:rPr>
            </w:pPr>
            <w:r w:rsidRPr="00CC2515">
              <w:rPr>
                <w:color w:val="000000"/>
                <w:sz w:val="20"/>
                <w:szCs w:val="20"/>
              </w:rPr>
              <w:t>No battery storage (4-hr or 8-hr) and 4.5MW more geothermal resource</w:t>
            </w:r>
          </w:p>
        </w:tc>
        <w:tc>
          <w:tcPr>
            <w:tcW w:w="1319" w:type="dxa"/>
            <w:tcBorders>
              <w:top w:val="nil"/>
              <w:left w:val="nil"/>
              <w:bottom w:val="single" w:sz="4" w:space="0" w:color="auto"/>
              <w:right w:val="single" w:sz="4" w:space="0" w:color="auto"/>
            </w:tcBorders>
            <w:shd w:val="clear" w:color="auto" w:fill="auto"/>
            <w:vAlign w:val="center"/>
            <w:hideMark/>
          </w:tcPr>
          <w:p w14:paraId="09B6C2C3" w14:textId="77777777" w:rsidR="00154E06" w:rsidRPr="00CC2515" w:rsidRDefault="00154E06" w:rsidP="00BD6F43">
            <w:pPr>
              <w:jc w:val="center"/>
              <w:rPr>
                <w:color w:val="000000"/>
                <w:sz w:val="20"/>
                <w:szCs w:val="20"/>
              </w:rPr>
            </w:pPr>
            <w:r w:rsidRPr="00CC2515">
              <w:rPr>
                <w:color w:val="000000"/>
                <w:sz w:val="20"/>
                <w:szCs w:val="20"/>
              </w:rPr>
              <w:t xml:space="preserve">$192.6 </w:t>
            </w:r>
          </w:p>
        </w:tc>
      </w:tr>
      <w:tr w:rsidR="00154E06" w:rsidRPr="0028259A" w14:paraId="3633E837" w14:textId="77777777" w:rsidTr="00BD6F43">
        <w:trPr>
          <w:trHeight w:val="940"/>
        </w:trPr>
        <w:tc>
          <w:tcPr>
            <w:tcW w:w="3414" w:type="dxa"/>
            <w:tcBorders>
              <w:top w:val="nil"/>
              <w:left w:val="single" w:sz="4" w:space="0" w:color="auto"/>
              <w:bottom w:val="single" w:sz="4" w:space="0" w:color="auto"/>
              <w:right w:val="single" w:sz="4" w:space="0" w:color="auto"/>
            </w:tcBorders>
            <w:shd w:val="clear" w:color="auto" w:fill="auto"/>
            <w:vAlign w:val="center"/>
            <w:hideMark/>
          </w:tcPr>
          <w:p w14:paraId="7F759330" w14:textId="77777777" w:rsidR="00154E06" w:rsidRPr="00CC2515" w:rsidRDefault="00154E06" w:rsidP="00BD6F43">
            <w:pPr>
              <w:rPr>
                <w:color w:val="000000"/>
                <w:sz w:val="20"/>
                <w:szCs w:val="20"/>
              </w:rPr>
            </w:pPr>
            <w:r w:rsidRPr="00CC2515">
              <w:rPr>
                <w:color w:val="000000"/>
                <w:sz w:val="20"/>
                <w:szCs w:val="20"/>
              </w:rPr>
              <w:t>High Internal Gen</w:t>
            </w:r>
          </w:p>
        </w:tc>
        <w:tc>
          <w:tcPr>
            <w:tcW w:w="4451" w:type="dxa"/>
            <w:tcBorders>
              <w:top w:val="nil"/>
              <w:left w:val="nil"/>
              <w:bottom w:val="single" w:sz="4" w:space="0" w:color="auto"/>
              <w:right w:val="single" w:sz="4" w:space="0" w:color="auto"/>
            </w:tcBorders>
            <w:shd w:val="clear" w:color="auto" w:fill="auto"/>
            <w:vAlign w:val="center"/>
            <w:hideMark/>
          </w:tcPr>
          <w:p w14:paraId="5C9C9006" w14:textId="15E59798" w:rsidR="00154E06" w:rsidRPr="00CC2515" w:rsidRDefault="00154E06" w:rsidP="00BD6F43">
            <w:pPr>
              <w:rPr>
                <w:color w:val="000000"/>
                <w:sz w:val="20"/>
                <w:szCs w:val="20"/>
              </w:rPr>
            </w:pPr>
            <w:r w:rsidRPr="00CC2515">
              <w:rPr>
                <w:color w:val="000000"/>
                <w:sz w:val="20"/>
                <w:szCs w:val="20"/>
              </w:rPr>
              <w:t>Increase community solar by 10 MW, Internal 4-hour battery storage by 3MW, Utility-scale 4-hour battery storage by 2.</w:t>
            </w:r>
            <w:proofErr w:type="gramStart"/>
            <w:r w:rsidRPr="00CC2515">
              <w:rPr>
                <w:color w:val="000000"/>
                <w:sz w:val="20"/>
                <w:szCs w:val="20"/>
              </w:rPr>
              <w:t>5MW, and</w:t>
            </w:r>
            <w:proofErr w:type="gramEnd"/>
            <w:r w:rsidRPr="00CC2515">
              <w:rPr>
                <w:color w:val="000000"/>
                <w:sz w:val="20"/>
                <w:szCs w:val="20"/>
              </w:rPr>
              <w:t xml:space="preserve"> reduce geothermal by 3MW.</w:t>
            </w:r>
          </w:p>
        </w:tc>
        <w:tc>
          <w:tcPr>
            <w:tcW w:w="1319" w:type="dxa"/>
            <w:tcBorders>
              <w:top w:val="nil"/>
              <w:left w:val="nil"/>
              <w:bottom w:val="single" w:sz="4" w:space="0" w:color="auto"/>
              <w:right w:val="single" w:sz="4" w:space="0" w:color="auto"/>
            </w:tcBorders>
            <w:shd w:val="clear" w:color="auto" w:fill="auto"/>
            <w:vAlign w:val="center"/>
            <w:hideMark/>
          </w:tcPr>
          <w:p w14:paraId="7D4E0C1E" w14:textId="77777777" w:rsidR="00154E06" w:rsidRPr="00CC2515" w:rsidRDefault="00154E06" w:rsidP="00BD6F43">
            <w:pPr>
              <w:jc w:val="center"/>
              <w:rPr>
                <w:color w:val="000000"/>
                <w:sz w:val="20"/>
                <w:szCs w:val="20"/>
              </w:rPr>
            </w:pPr>
            <w:r w:rsidRPr="00CC2515">
              <w:rPr>
                <w:color w:val="000000"/>
                <w:sz w:val="20"/>
                <w:szCs w:val="20"/>
              </w:rPr>
              <w:t xml:space="preserve">$217.6 </w:t>
            </w:r>
          </w:p>
        </w:tc>
      </w:tr>
    </w:tbl>
    <w:p w14:paraId="5EECBF15" w14:textId="7FD54CFE" w:rsidR="001F62EF" w:rsidRDefault="001F62EF" w:rsidP="001F62EF">
      <w:pPr>
        <w:pStyle w:val="BodyText"/>
        <w:rPr>
          <w:sz w:val="24"/>
          <w:szCs w:val="24"/>
        </w:rPr>
      </w:pPr>
      <w:r w:rsidRPr="001F62EF">
        <w:rPr>
          <w:sz w:val="24"/>
          <w:szCs w:val="24"/>
        </w:rPr>
        <w:lastRenderedPageBreak/>
        <w:t>We assess a range of sensitivities</w:t>
      </w:r>
      <w:r>
        <w:rPr>
          <w:sz w:val="24"/>
          <w:szCs w:val="24"/>
        </w:rPr>
        <w:t>, selected to capture the impact of key uncertainties.  These include natural gas</w:t>
      </w:r>
      <w:r w:rsidRPr="001F62EF">
        <w:rPr>
          <w:sz w:val="24"/>
          <w:szCs w:val="24"/>
        </w:rPr>
        <w:t xml:space="preserve"> costs, prices for power purchase agreements, the </w:t>
      </w:r>
      <w:r w:rsidR="00A914BD">
        <w:rPr>
          <w:sz w:val="24"/>
          <w:szCs w:val="24"/>
        </w:rPr>
        <w:t xml:space="preserve">transmission </w:t>
      </w:r>
      <w:r w:rsidRPr="001F62EF">
        <w:rPr>
          <w:sz w:val="24"/>
          <w:szCs w:val="24"/>
        </w:rPr>
        <w:t xml:space="preserve">charge to transport electricity across the NV Energy system, </w:t>
      </w:r>
      <w:r w:rsidR="00A914BD">
        <w:rPr>
          <w:sz w:val="24"/>
          <w:szCs w:val="24"/>
        </w:rPr>
        <w:t>how the</w:t>
      </w:r>
      <w:r w:rsidRPr="001F62EF">
        <w:rPr>
          <w:sz w:val="24"/>
          <w:szCs w:val="24"/>
        </w:rPr>
        <w:t xml:space="preserve"> resources </w:t>
      </w:r>
      <w:r w:rsidR="00A914BD">
        <w:rPr>
          <w:sz w:val="24"/>
          <w:szCs w:val="24"/>
        </w:rPr>
        <w:t xml:space="preserve">are </w:t>
      </w:r>
      <w:r w:rsidRPr="001F62EF">
        <w:rPr>
          <w:sz w:val="24"/>
          <w:szCs w:val="24"/>
        </w:rPr>
        <w:t>count</w:t>
      </w:r>
      <w:r w:rsidR="00A914BD">
        <w:rPr>
          <w:sz w:val="24"/>
          <w:szCs w:val="24"/>
        </w:rPr>
        <w:t>ed</w:t>
      </w:r>
      <w:r w:rsidRPr="001F62EF">
        <w:rPr>
          <w:sz w:val="24"/>
          <w:szCs w:val="24"/>
        </w:rPr>
        <w:t xml:space="preserve"> toward resource adequacy, </w:t>
      </w:r>
      <w:r>
        <w:rPr>
          <w:sz w:val="24"/>
          <w:szCs w:val="24"/>
        </w:rPr>
        <w:t xml:space="preserve">variability in how much </w:t>
      </w:r>
      <w:r w:rsidRPr="001F62EF">
        <w:rPr>
          <w:sz w:val="24"/>
          <w:szCs w:val="24"/>
        </w:rPr>
        <w:t>hydro-electric generation</w:t>
      </w:r>
      <w:r>
        <w:rPr>
          <w:sz w:val="24"/>
          <w:szCs w:val="24"/>
        </w:rPr>
        <w:t xml:space="preserve"> occurs in a year and the pattern of change between wet and dry years.  Last, the Team tests the impact of deliveries to the District from the Central Valley Project </w:t>
      </w:r>
      <w:r w:rsidR="00E80638">
        <w:rPr>
          <w:sz w:val="24"/>
          <w:szCs w:val="24"/>
        </w:rPr>
        <w:t xml:space="preserve">being </w:t>
      </w:r>
      <w:r>
        <w:rPr>
          <w:sz w:val="24"/>
          <w:szCs w:val="24"/>
        </w:rPr>
        <w:t xml:space="preserve">exempt (or not) from low voltage transmission </w:t>
      </w:r>
      <w:r w:rsidR="00A914BD">
        <w:rPr>
          <w:sz w:val="24"/>
          <w:szCs w:val="24"/>
        </w:rPr>
        <w:t xml:space="preserve">access </w:t>
      </w:r>
      <w:r>
        <w:rPr>
          <w:sz w:val="24"/>
          <w:szCs w:val="24"/>
        </w:rPr>
        <w:t>charges.  The sensitivities allow one to evaluate how different resource combinations compare in terms of not only cost, but the various key uncertainties.</w:t>
      </w:r>
    </w:p>
    <w:p w14:paraId="5CAC095C" w14:textId="4A43FF51" w:rsidR="00D640D6" w:rsidRPr="00D640D6" w:rsidRDefault="001F62EF" w:rsidP="00D640D6">
      <w:pPr>
        <w:pStyle w:val="BodyText"/>
        <w:rPr>
          <w:sz w:val="24"/>
          <w:szCs w:val="24"/>
        </w:rPr>
      </w:pPr>
      <w:r w:rsidRPr="00D640D6">
        <w:rPr>
          <w:sz w:val="24"/>
          <w:szCs w:val="24"/>
        </w:rPr>
        <w:t xml:space="preserve">In all, the Team recommends what we call the Balanced Portfolio.  It is not the absolute least cost portfolio, but its composition yields the best balance </w:t>
      </w:r>
      <w:r w:rsidR="00F207C1" w:rsidRPr="00D640D6">
        <w:rPr>
          <w:sz w:val="24"/>
          <w:szCs w:val="24"/>
        </w:rPr>
        <w:t xml:space="preserve">of risk and cost </w:t>
      </w:r>
      <w:r w:rsidRPr="00D640D6">
        <w:rPr>
          <w:sz w:val="24"/>
          <w:szCs w:val="24"/>
        </w:rPr>
        <w:t xml:space="preserve">across the various sensitivities. </w:t>
      </w:r>
      <w:r w:rsidR="00D640D6" w:rsidRPr="00D640D6">
        <w:rPr>
          <w:sz w:val="24"/>
          <w:szCs w:val="24"/>
        </w:rPr>
        <w:t xml:space="preserve"> The Recommended portfolio is reliable in that it meets all projected demand and maintains an adequate planning reserve margin.  It</w:t>
      </w:r>
      <w:r w:rsidR="00D640D6">
        <w:rPr>
          <w:sz w:val="24"/>
          <w:szCs w:val="24"/>
        </w:rPr>
        <w:t xml:space="preserve"> offers lower procurement cost</w:t>
      </w:r>
      <w:r w:rsidR="00D640D6" w:rsidRPr="00D640D6">
        <w:rPr>
          <w:sz w:val="24"/>
          <w:szCs w:val="24"/>
        </w:rPr>
        <w:t xml:space="preserve"> </w:t>
      </w:r>
      <w:r w:rsidR="00D640D6">
        <w:rPr>
          <w:sz w:val="24"/>
          <w:szCs w:val="24"/>
        </w:rPr>
        <w:t xml:space="preserve">than others we assembled </w:t>
      </w:r>
      <w:r w:rsidR="00D640D6" w:rsidRPr="00D640D6">
        <w:rPr>
          <w:sz w:val="24"/>
          <w:szCs w:val="24"/>
        </w:rPr>
        <w:t xml:space="preserve">and reduces exposure to market volatility.  It complies with the State’s environmental goals and policies.  It includes required resource diversity and is a good fit in terms of balancing </w:t>
      </w:r>
      <w:r w:rsidR="00D640D6">
        <w:rPr>
          <w:sz w:val="24"/>
          <w:szCs w:val="24"/>
        </w:rPr>
        <w:t xml:space="preserve">monthly and hourly </w:t>
      </w:r>
      <w:r w:rsidR="00D640D6" w:rsidRPr="00D640D6">
        <w:rPr>
          <w:sz w:val="24"/>
          <w:szCs w:val="24"/>
        </w:rPr>
        <w:t>resources against loads.  We have also tested that the Recommended portfolio performs well under a range of sensitivities.  We recommend that the District explore the potential for increasing the proportion of geothermal or other baseload resources into the Recommended portfolio, with a corresponding decrease in reliance on solar plus storage, since this potentially could result in lower overall costs, while also increasing resource diversity</w:t>
      </w:r>
      <w:r w:rsidR="008B7898">
        <w:rPr>
          <w:sz w:val="24"/>
          <w:szCs w:val="24"/>
        </w:rPr>
        <w:t>.</w:t>
      </w:r>
    </w:p>
    <w:p w14:paraId="0A1CB30B" w14:textId="706FD2D6" w:rsidR="001F62EF" w:rsidRDefault="00E80638" w:rsidP="001F62EF">
      <w:pPr>
        <w:pStyle w:val="BodyText"/>
        <w:rPr>
          <w:sz w:val="24"/>
          <w:szCs w:val="24"/>
        </w:rPr>
      </w:pPr>
      <w:r>
        <w:rPr>
          <w:sz w:val="24"/>
          <w:szCs w:val="24"/>
        </w:rPr>
        <w:t>If</w:t>
      </w:r>
      <w:r w:rsidR="001F62EF">
        <w:rPr>
          <w:sz w:val="24"/>
          <w:szCs w:val="24"/>
        </w:rPr>
        <w:t xml:space="preserve"> the District</w:t>
      </w:r>
      <w:r>
        <w:rPr>
          <w:sz w:val="24"/>
          <w:szCs w:val="24"/>
        </w:rPr>
        <w:t xml:space="preserve"> adopts the Balanced Portfolio, it</w:t>
      </w:r>
      <w:r w:rsidR="001F62EF">
        <w:rPr>
          <w:sz w:val="24"/>
          <w:szCs w:val="24"/>
        </w:rPr>
        <w:t xml:space="preserve"> must procure </w:t>
      </w:r>
      <w:r w:rsidR="00A914BD">
        <w:rPr>
          <w:sz w:val="24"/>
          <w:szCs w:val="24"/>
        </w:rPr>
        <w:t xml:space="preserve">38.5 </w:t>
      </w:r>
      <w:r w:rsidR="001F62EF">
        <w:rPr>
          <w:sz w:val="24"/>
          <w:szCs w:val="24"/>
        </w:rPr>
        <w:t xml:space="preserve">MW </w:t>
      </w:r>
      <w:r>
        <w:rPr>
          <w:sz w:val="24"/>
          <w:szCs w:val="24"/>
        </w:rPr>
        <w:t xml:space="preserve">of resources </w:t>
      </w:r>
      <w:r w:rsidR="001F62EF">
        <w:rPr>
          <w:sz w:val="24"/>
          <w:szCs w:val="24"/>
        </w:rPr>
        <w:t xml:space="preserve">not </w:t>
      </w:r>
      <w:r>
        <w:rPr>
          <w:sz w:val="24"/>
          <w:szCs w:val="24"/>
        </w:rPr>
        <w:t xml:space="preserve">currently </w:t>
      </w:r>
      <w:r w:rsidR="001F62EF">
        <w:rPr>
          <w:sz w:val="24"/>
          <w:szCs w:val="24"/>
        </w:rPr>
        <w:t xml:space="preserve">in its resource mix </w:t>
      </w:r>
      <w:r w:rsidR="001F62EF" w:rsidRPr="00E31E0D">
        <w:rPr>
          <w:sz w:val="24"/>
        </w:rPr>
        <w:t xml:space="preserve">by </w:t>
      </w:r>
      <w:r w:rsidR="001F62EF" w:rsidRPr="00C34E49">
        <w:rPr>
          <w:sz w:val="24"/>
          <w:szCs w:val="24"/>
        </w:rPr>
        <w:t>20</w:t>
      </w:r>
      <w:r w:rsidR="00A914BD" w:rsidRPr="00C34E49">
        <w:rPr>
          <w:sz w:val="24"/>
          <w:szCs w:val="24"/>
        </w:rPr>
        <w:t>30</w:t>
      </w:r>
      <w:r w:rsidR="00A914BD">
        <w:rPr>
          <w:sz w:val="24"/>
          <w:szCs w:val="24"/>
        </w:rPr>
        <w:t xml:space="preserve"> and </w:t>
      </w:r>
      <w:r>
        <w:rPr>
          <w:sz w:val="24"/>
          <w:szCs w:val="24"/>
        </w:rPr>
        <w:t xml:space="preserve">an </w:t>
      </w:r>
      <w:r w:rsidR="00A914BD">
        <w:rPr>
          <w:sz w:val="24"/>
          <w:szCs w:val="24"/>
        </w:rPr>
        <w:t>additional 7.5</w:t>
      </w:r>
      <w:r w:rsidR="00AD68B3">
        <w:rPr>
          <w:sz w:val="24"/>
          <w:szCs w:val="24"/>
        </w:rPr>
        <w:t xml:space="preserve"> </w:t>
      </w:r>
      <w:r w:rsidR="00A914BD">
        <w:rPr>
          <w:sz w:val="24"/>
          <w:szCs w:val="24"/>
        </w:rPr>
        <w:t>MW</w:t>
      </w:r>
      <w:r w:rsidR="001F62EF">
        <w:rPr>
          <w:sz w:val="24"/>
          <w:szCs w:val="24"/>
        </w:rPr>
        <w:t xml:space="preserve"> </w:t>
      </w:r>
      <w:r w:rsidR="00A914BD">
        <w:rPr>
          <w:sz w:val="24"/>
          <w:szCs w:val="24"/>
        </w:rPr>
        <w:t xml:space="preserve">by 2035. </w:t>
      </w:r>
      <w:r w:rsidR="001F62EF">
        <w:rPr>
          <w:sz w:val="24"/>
          <w:szCs w:val="24"/>
        </w:rPr>
        <w:t xml:space="preserve">Importantly, we include in the portfolio </w:t>
      </w:r>
      <w:r>
        <w:rPr>
          <w:sz w:val="24"/>
          <w:szCs w:val="24"/>
        </w:rPr>
        <w:t xml:space="preserve">a significant amount of </w:t>
      </w:r>
      <w:r w:rsidR="001F62EF">
        <w:rPr>
          <w:sz w:val="24"/>
          <w:szCs w:val="24"/>
        </w:rPr>
        <w:t xml:space="preserve">solar plus storage.  </w:t>
      </w:r>
      <w:r>
        <w:rPr>
          <w:sz w:val="24"/>
          <w:szCs w:val="24"/>
        </w:rPr>
        <w:t xml:space="preserve">The Balanced Portfolio includes 2 MW of </w:t>
      </w:r>
      <w:r w:rsidR="001F62EF">
        <w:rPr>
          <w:sz w:val="24"/>
          <w:szCs w:val="24"/>
        </w:rPr>
        <w:t>Community Solar</w:t>
      </w:r>
      <w:r w:rsidR="00F207C1">
        <w:rPr>
          <w:sz w:val="24"/>
          <w:szCs w:val="24"/>
        </w:rPr>
        <w:t xml:space="preserve"> and</w:t>
      </w:r>
      <w:r w:rsidR="00D65E9C">
        <w:rPr>
          <w:sz w:val="24"/>
          <w:szCs w:val="24"/>
        </w:rPr>
        <w:t xml:space="preserve"> 1 MW of </w:t>
      </w:r>
      <w:r w:rsidR="00F207C1">
        <w:rPr>
          <w:sz w:val="24"/>
          <w:szCs w:val="24"/>
        </w:rPr>
        <w:t>battery storage that could be located locally</w:t>
      </w:r>
      <w:r>
        <w:rPr>
          <w:sz w:val="24"/>
          <w:szCs w:val="24"/>
        </w:rPr>
        <w:t xml:space="preserve">, </w:t>
      </w:r>
      <w:r w:rsidR="00951D63">
        <w:rPr>
          <w:sz w:val="24"/>
          <w:szCs w:val="24"/>
        </w:rPr>
        <w:t>and additional local solar and storage resources could be pursued, if feasible</w:t>
      </w:r>
      <w:r w:rsidR="00F207C1">
        <w:rPr>
          <w:sz w:val="24"/>
          <w:szCs w:val="24"/>
        </w:rPr>
        <w:t xml:space="preserve">.  </w:t>
      </w:r>
    </w:p>
    <w:p w14:paraId="4C754064" w14:textId="6532D4EA" w:rsidR="00F207C1" w:rsidRPr="00CC2515" w:rsidRDefault="00F207C1" w:rsidP="001F62EF">
      <w:pPr>
        <w:pStyle w:val="BodyText"/>
        <w:rPr>
          <w:sz w:val="24"/>
          <w:szCs w:val="24"/>
        </w:rPr>
      </w:pPr>
      <w:r w:rsidRPr="00CC2515">
        <w:rPr>
          <w:sz w:val="24"/>
          <w:szCs w:val="24"/>
        </w:rPr>
        <w:t xml:space="preserve">The District, in our opinion, benefits from its load profile that continues to peak in winter.  This is counter to load in most of the West, excepting the Pacific Northwest.  This profile puts the District in the position of </w:t>
      </w:r>
      <w:r w:rsidR="00CC2515" w:rsidRPr="00CC2515">
        <w:rPr>
          <w:sz w:val="24"/>
          <w:szCs w:val="24"/>
        </w:rPr>
        <w:t xml:space="preserve">being long resources when the weather makes California and the southwest resource short.  Even so, the West in general is seen as either resource inadequate or close to inadequate.  This, plus building and vehicle electrification, mean that the District is competing with other utilities to buy resources, and greenhouse gas goals mean those resources must be renewable.  </w:t>
      </w:r>
      <w:r w:rsidRPr="00CC2515">
        <w:rPr>
          <w:sz w:val="24"/>
          <w:szCs w:val="24"/>
        </w:rPr>
        <w:t xml:space="preserve">Additionally, we encourage the District to continue deployment of new energy efficiency programs, even as it electrifies.  Electrification of efficient buildings assures the District is not working against itself as it procures resources.  </w:t>
      </w:r>
    </w:p>
    <w:p w14:paraId="409865B4" w14:textId="000650FC" w:rsidR="00F207C1" w:rsidRPr="001F62EF" w:rsidRDefault="00F207C1" w:rsidP="001F62EF">
      <w:pPr>
        <w:pStyle w:val="BodyText"/>
        <w:rPr>
          <w:color w:val="FFFFFF" w:themeColor="background1"/>
          <w:sz w:val="24"/>
          <w:szCs w:val="24"/>
        </w:rPr>
      </w:pPr>
      <w:r w:rsidRPr="00CC2515">
        <w:rPr>
          <w:sz w:val="24"/>
          <w:szCs w:val="24"/>
        </w:rPr>
        <w:t xml:space="preserve">This very first Integrated Resource Plan for TDPUD is an important step in considering resource options and compiling a </w:t>
      </w:r>
      <w:r w:rsidR="00D640D6" w:rsidRPr="00CC2515">
        <w:rPr>
          <w:sz w:val="24"/>
          <w:szCs w:val="24"/>
        </w:rPr>
        <w:t xml:space="preserve">broad </w:t>
      </w:r>
      <w:r w:rsidRPr="00CC2515">
        <w:rPr>
          <w:sz w:val="24"/>
          <w:szCs w:val="24"/>
        </w:rPr>
        <w:t>resource portfolio that serves the District</w:t>
      </w:r>
      <w:r w:rsidR="00D640D6" w:rsidRPr="00CC2515">
        <w:rPr>
          <w:sz w:val="24"/>
          <w:szCs w:val="24"/>
        </w:rPr>
        <w:t xml:space="preserve"> well</w:t>
      </w:r>
      <w:r w:rsidRPr="00CC2515">
        <w:rPr>
          <w:sz w:val="24"/>
          <w:szCs w:val="24"/>
        </w:rPr>
        <w:t>.</w:t>
      </w:r>
      <w:r w:rsidR="00D640D6" w:rsidRPr="00CC2515">
        <w:rPr>
          <w:sz w:val="24"/>
          <w:szCs w:val="24"/>
        </w:rPr>
        <w:t xml:space="preserve">  The consulting Team is pleased to offer our detailed analysis and findings.</w:t>
      </w:r>
      <w:r w:rsidR="00D640D6">
        <w:rPr>
          <w:sz w:val="24"/>
          <w:szCs w:val="24"/>
        </w:rPr>
        <w:t xml:space="preserve"> </w:t>
      </w:r>
      <w:r>
        <w:rPr>
          <w:sz w:val="24"/>
          <w:szCs w:val="24"/>
        </w:rPr>
        <w:t xml:space="preserve">  </w:t>
      </w:r>
    </w:p>
    <w:p w14:paraId="02CC3712" w14:textId="77777777" w:rsidR="001F62EF" w:rsidRDefault="001F62EF" w:rsidP="002C3A10">
      <w:pPr>
        <w:spacing w:after="60"/>
        <w:jc w:val="center"/>
        <w:rPr>
          <w:b/>
          <w:bCs/>
          <w:noProof/>
          <w:sz w:val="32"/>
          <w:szCs w:val="32"/>
        </w:rPr>
      </w:pPr>
    </w:p>
    <w:p w14:paraId="41394F71" w14:textId="77777777" w:rsidR="001F62EF" w:rsidRDefault="001F62EF" w:rsidP="001F62EF">
      <w:pPr>
        <w:spacing w:after="60"/>
        <w:jc w:val="both"/>
        <w:rPr>
          <w:b/>
          <w:bCs/>
          <w:noProof/>
          <w:sz w:val="32"/>
          <w:szCs w:val="32"/>
        </w:rPr>
        <w:sectPr w:rsidR="001F62EF" w:rsidSect="00DE157C">
          <w:headerReference w:type="even" r:id="rId21"/>
          <w:headerReference w:type="default" r:id="rId22"/>
          <w:footerReference w:type="default" r:id="rId23"/>
          <w:headerReference w:type="first" r:id="rId24"/>
          <w:footerReference w:type="first" r:id="rId25"/>
          <w:pgSz w:w="12240" w:h="15840"/>
          <w:pgMar w:top="1440" w:right="1440" w:bottom="1440" w:left="1440" w:header="720" w:footer="576" w:gutter="0"/>
          <w:cols w:space="720"/>
          <w:docGrid w:linePitch="360"/>
        </w:sectPr>
      </w:pPr>
    </w:p>
    <w:p w14:paraId="44BB4C38" w14:textId="77777777" w:rsidR="001F62EF" w:rsidRDefault="001F62EF" w:rsidP="002C3A10">
      <w:pPr>
        <w:spacing w:after="60"/>
        <w:jc w:val="center"/>
        <w:rPr>
          <w:b/>
          <w:bCs/>
          <w:noProof/>
          <w:sz w:val="32"/>
          <w:szCs w:val="32"/>
        </w:rPr>
      </w:pPr>
    </w:p>
    <w:p w14:paraId="76F0649B" w14:textId="62F74FBF" w:rsidR="002C3A10" w:rsidRDefault="002C3A10" w:rsidP="002C3A10">
      <w:pPr>
        <w:spacing w:after="60"/>
        <w:jc w:val="center"/>
        <w:rPr>
          <w:b/>
          <w:sz w:val="28"/>
        </w:rPr>
      </w:pPr>
      <w:r>
        <w:rPr>
          <w:b/>
          <w:bCs/>
          <w:noProof/>
          <w:sz w:val="32"/>
          <w:szCs w:val="32"/>
        </w:rPr>
        <w:t>Truckee Donner Public Utility District</w:t>
      </w:r>
    </w:p>
    <w:p w14:paraId="7F5090E8" w14:textId="77777777" w:rsidR="002C3A10" w:rsidRDefault="002C3A10" w:rsidP="002C3A10">
      <w:pPr>
        <w:spacing w:after="60"/>
        <w:ind w:left="3600" w:hanging="630"/>
        <w:rPr>
          <w:color w:val="FFFFFF" w:themeColor="background1"/>
        </w:rPr>
      </w:pPr>
      <w:r>
        <w:rPr>
          <w:b/>
          <w:sz w:val="28"/>
        </w:rPr>
        <w:t>2023</w:t>
      </w:r>
      <w:r w:rsidRPr="006A736B">
        <w:rPr>
          <w:b/>
          <w:sz w:val="28"/>
        </w:rPr>
        <w:t xml:space="preserve"> Integrated Resource Plan </w:t>
      </w:r>
      <w:r w:rsidRPr="00805634">
        <w:rPr>
          <w:color w:val="FFFFFF" w:themeColor="background1"/>
        </w:rPr>
        <w:t>In</w:t>
      </w:r>
    </w:p>
    <w:p w14:paraId="439F0697" w14:textId="23A80393" w:rsidR="006A736B" w:rsidRPr="00805634" w:rsidRDefault="006A736B" w:rsidP="006A736B">
      <w:pPr>
        <w:pStyle w:val="Heading1"/>
        <w:shd w:val="clear" w:color="auto" w:fill="007033"/>
        <w:rPr>
          <w:color w:val="FFFFFF" w:themeColor="background1"/>
        </w:rPr>
      </w:pPr>
      <w:bookmarkStart w:id="2" w:name="_Toc153273282"/>
      <w:bookmarkStart w:id="3" w:name="_Toc153451639"/>
      <w:r w:rsidRPr="00805634">
        <w:rPr>
          <w:color w:val="FFFFFF" w:themeColor="background1"/>
        </w:rPr>
        <w:t xml:space="preserve">Introduction </w:t>
      </w:r>
      <w:r w:rsidR="00BD3E94">
        <w:rPr>
          <w:color w:val="FFFFFF" w:themeColor="background1"/>
        </w:rPr>
        <w:t>and Purpose</w:t>
      </w:r>
      <w:bookmarkEnd w:id="2"/>
      <w:bookmarkEnd w:id="3"/>
    </w:p>
    <w:p w14:paraId="2808DD7D" w14:textId="68171D15" w:rsidR="00805634" w:rsidRDefault="0042314C" w:rsidP="00DB79A4">
      <w:pPr>
        <w:spacing w:before="120"/>
      </w:pPr>
      <w:r>
        <w:t xml:space="preserve">The Truckee Donner Public Utility District </w:t>
      </w:r>
      <w:r w:rsidR="006D3F9C">
        <w:t xml:space="preserve">(TDPUD or District) </w:t>
      </w:r>
      <w:r>
        <w:t xml:space="preserve">commissioned this </w:t>
      </w:r>
      <w:r w:rsidR="004C0B6C">
        <w:t>first-ever</w:t>
      </w:r>
      <w:r>
        <w:t xml:space="preserve"> Integrated Resource Plan </w:t>
      </w:r>
      <w:r w:rsidR="005729DC">
        <w:t xml:space="preserve">(IRP) </w:t>
      </w:r>
      <w:r>
        <w:t xml:space="preserve">in May 2023. </w:t>
      </w:r>
      <w:r w:rsidR="005729DC">
        <w:t xml:space="preserve">An IRP explores the resources the District has and will need to assemble </w:t>
      </w:r>
      <w:proofErr w:type="gramStart"/>
      <w:r w:rsidR="005729DC">
        <w:t>in order to</w:t>
      </w:r>
      <w:proofErr w:type="gramEnd"/>
      <w:r w:rsidR="005729DC">
        <w:t xml:space="preserve"> meet </w:t>
      </w:r>
      <w:r w:rsidR="004C0B6C">
        <w:t xml:space="preserve">the </w:t>
      </w:r>
      <w:r w:rsidR="005729DC">
        <w:t>load.  It considers load growth and ways to meet load, including energy efficiency, current resource contracts</w:t>
      </w:r>
      <w:r w:rsidR="004C0B6C">
        <w:t>,</w:t>
      </w:r>
      <w:r w:rsidR="005729DC">
        <w:t xml:space="preserve"> and new resource opportunities.  It captures statutory requirements, District goals and community desires and characteristics in crafting a guidebook the District Board and management can use to </w:t>
      </w:r>
      <w:r w:rsidR="006B0F81">
        <w:t xml:space="preserve">form </w:t>
      </w:r>
      <w:r w:rsidR="005729DC">
        <w:t xml:space="preserve">the District’s electricity resource portfolio. </w:t>
      </w:r>
    </w:p>
    <w:p w14:paraId="2F6BF2C1" w14:textId="3709387D" w:rsidR="00950C5E" w:rsidRDefault="00950C5E" w:rsidP="00950C5E">
      <w:pPr>
        <w:spacing w:before="120"/>
      </w:pPr>
      <w:r>
        <w:t>The District was established on August 9, 1927</w:t>
      </w:r>
      <w:r w:rsidR="004C0B6C">
        <w:t>,</w:t>
      </w:r>
      <w:r>
        <w:t xml:space="preserve"> as a Public Utility District under Division 7 of the State Public Utilities Code. At the time of its establishment, the District provided electric service only. Since 1935, the District has also provided water service within the Truckee and Donner Lake areas, with the Electric System and the District’s water system maintained and operated separately. As of December 31, 2022, the District provided electric service to 13,016 residential and 1,632 commercial, governmental, </w:t>
      </w:r>
      <w:proofErr w:type="gramStart"/>
      <w:r>
        <w:t>institutional</w:t>
      </w:r>
      <w:proofErr w:type="gramEnd"/>
      <w:r>
        <w:t xml:space="preserve"> and other customers. Although residential customers comprise over 88% of all customers, they consume only about 55% of total energy deliveries. The District is a winter, weekend, and holiday-peaking utility with a peak demand </w:t>
      </w:r>
      <w:r w:rsidR="004C0B6C">
        <w:t xml:space="preserve">of </w:t>
      </w:r>
      <w:r>
        <w:t>around 35MW to 38MW, with a smaller</w:t>
      </w:r>
      <w:r w:rsidDel="00950C5E">
        <w:t xml:space="preserve"> </w:t>
      </w:r>
      <w:r>
        <w:t xml:space="preserve">but growing summer peak in July between 23MW </w:t>
      </w:r>
      <w:r w:rsidR="004C0B6C">
        <w:t>and</w:t>
      </w:r>
      <w:r>
        <w:t xml:space="preserve"> 25MW. The District is the sole provider of retail electric service within its service area. The District’s mission is to provide reliable, </w:t>
      </w:r>
      <w:r w:rsidR="004C0B6C">
        <w:t>high-quality</w:t>
      </w:r>
      <w:r>
        <w:t xml:space="preserve"> utility and customer services while managing resources in a safe, open, responsible, and environmentally sound manner at the lowest practical cost. </w:t>
      </w:r>
    </w:p>
    <w:p w14:paraId="778DAA1F" w14:textId="3E1AAC79" w:rsidR="00950C5E" w:rsidRDefault="00950C5E" w:rsidP="00950C5E">
      <w:pPr>
        <w:spacing w:before="120"/>
      </w:pPr>
      <w:r>
        <w:t xml:space="preserve">The District is a network transmission service customer under the currently effective joint Open Access Transmission Tariff (OATT) with Sierra Pacific Power Company (SPPC) d/b/a NV Energy (NV Energy). </w:t>
      </w:r>
      <w:r w:rsidR="006B0F81">
        <w:t xml:space="preserve">Its </w:t>
      </w:r>
      <w:r>
        <w:t>load is located entirely with</w:t>
      </w:r>
      <w:r w:rsidR="006B0F81">
        <w:t>in</w:t>
      </w:r>
      <w:r>
        <w:t xml:space="preserve"> NV Energy’s Balancing </w:t>
      </w:r>
      <w:r w:rsidR="006B0F81">
        <w:t xml:space="preserve">Authority </w:t>
      </w:r>
      <w:r>
        <w:t>Area (BA</w:t>
      </w:r>
      <w:r w:rsidR="006B0F81">
        <w:t>A</w:t>
      </w:r>
      <w:r>
        <w:t xml:space="preserve">) and is not </w:t>
      </w:r>
      <w:r w:rsidR="006B0F81">
        <w:t xml:space="preserve">directly </w:t>
      </w:r>
      <w:r>
        <w:t>connected to any California BA</w:t>
      </w:r>
      <w:r w:rsidR="006B0F81">
        <w:t>A</w:t>
      </w:r>
      <w:r>
        <w:t xml:space="preserve">. The District uses NV Energy’s network </w:t>
      </w:r>
      <w:r w:rsidR="006B0F81">
        <w:t xml:space="preserve">transmission </w:t>
      </w:r>
      <w:r>
        <w:t xml:space="preserve">service to import into and transport across NV Energy’s transmission grid </w:t>
      </w:r>
      <w:proofErr w:type="gramStart"/>
      <w:r>
        <w:t>all of</w:t>
      </w:r>
      <w:proofErr w:type="gramEnd"/>
      <w:r>
        <w:t xml:space="preserve"> the energy that is necessary to serve the District’s load. The District is a Load Serving Entity (LSE) and does not generate electricity itself. </w:t>
      </w:r>
      <w:r w:rsidR="006B0F81">
        <w:t>Its</w:t>
      </w:r>
      <w:r>
        <w:t xml:space="preserve"> sources of electrical power include resources owned and/or operated by </w:t>
      </w:r>
      <w:r w:rsidR="004C0B6C">
        <w:t xml:space="preserve">the </w:t>
      </w:r>
      <w:r>
        <w:t>Utah Association of Municipal Power Systems (UAMPS), Western Area Power Administration (WAPA), and Truckee-Carson Irrigation District (TCID)</w:t>
      </w:r>
      <w:r w:rsidR="006B0F81">
        <w:t>, supplemented by market purchases</w:t>
      </w:r>
      <w:r>
        <w:t xml:space="preserve">. The District has entered into various agreements with these entities for electrical </w:t>
      </w:r>
      <w:proofErr w:type="gramStart"/>
      <w:r>
        <w:t>power</w:t>
      </w:r>
      <w:proofErr w:type="gramEnd"/>
      <w:r>
        <w:t xml:space="preserve"> which is generated from wind, solar, landfill gas, hydroelectric projects, natural gas, and other sources. UAMPS is also the Scheduling Coordinator (SC) for all energy resources received by the District.</w:t>
      </w:r>
      <w:r w:rsidDel="00950C5E">
        <w:t xml:space="preserve"> </w:t>
      </w:r>
    </w:p>
    <w:p w14:paraId="614B4AB5" w14:textId="20576BA9" w:rsidR="005729DC" w:rsidRDefault="005729DC" w:rsidP="001D1E48">
      <w:pPr>
        <w:spacing w:before="120"/>
      </w:pPr>
      <w:r>
        <w:lastRenderedPageBreak/>
        <w:t>The District is unique in that while located in California</w:t>
      </w:r>
      <w:r w:rsidR="004C0B6C">
        <w:t>, it is</w:t>
      </w:r>
      <w:r w:rsidR="00556D41">
        <w:t xml:space="preserve"> </w:t>
      </w:r>
      <w:r w:rsidR="006B0F81">
        <w:t xml:space="preserve">electrically connected to Nevada </w:t>
      </w:r>
      <w:r w:rsidR="00952DBC">
        <w:t xml:space="preserve">and is </w:t>
      </w:r>
      <w:r w:rsidR="00556D41">
        <w:t xml:space="preserve">virtually at the crest of the Sierra Nevada along the major Interstate and rail corridor connecting northern California with points east and to Lake Tahoe.  It is host to many second homes, meaning that a portion of its population is seasonal.  </w:t>
      </w:r>
      <w:r w:rsidR="00BD3E94">
        <w:t xml:space="preserve">Snow load and tree shade prevent many homes from installing rooftop solar, and the District’s </w:t>
      </w:r>
      <w:r w:rsidR="00952DBC">
        <w:t xml:space="preserve">load </w:t>
      </w:r>
      <w:r w:rsidR="00BD3E94">
        <w:t xml:space="preserve">currently peaks during winter months.  </w:t>
      </w:r>
    </w:p>
    <w:p w14:paraId="797A53A0" w14:textId="5E957DDD" w:rsidR="001D7597" w:rsidRDefault="00556D41" w:rsidP="001D1E48">
      <w:pPr>
        <w:spacing w:before="120"/>
      </w:pPr>
      <w:r>
        <w:t xml:space="preserve">The </w:t>
      </w:r>
      <w:r w:rsidR="004C0B6C">
        <w:t>analytical</w:t>
      </w:r>
      <w:r>
        <w:t xml:space="preserve"> team </w:t>
      </w:r>
      <w:r w:rsidR="00BD3E94">
        <w:t xml:space="preserve">that prepared </w:t>
      </w:r>
      <w:r>
        <w:t>this IRP consists of Aspen Environmental Group</w:t>
      </w:r>
      <w:r w:rsidR="004A2DAD">
        <w:t xml:space="preserve"> (Aspen)</w:t>
      </w:r>
      <w:r w:rsidR="002723A9">
        <w:t xml:space="preserve">, Flynn </w:t>
      </w:r>
      <w:r w:rsidR="006D3F9C">
        <w:t xml:space="preserve">Resource Consultants Inc. </w:t>
      </w:r>
      <w:r w:rsidR="004A2DAD">
        <w:t>(Flynn</w:t>
      </w:r>
      <w:r w:rsidR="006D3F9C">
        <w:t xml:space="preserve"> RCI</w:t>
      </w:r>
      <w:r w:rsidR="004A2DAD">
        <w:t>)</w:t>
      </w:r>
      <w:r w:rsidR="004C0B6C">
        <w:t>,</w:t>
      </w:r>
      <w:r w:rsidR="002723A9">
        <w:t xml:space="preserve"> and Better Climate.  </w:t>
      </w:r>
      <w:r w:rsidR="00BD3E94">
        <w:t>The consulting team launched its work in July 2023.  This report presents our results.  It</w:t>
      </w:r>
      <w:r w:rsidR="002723A9">
        <w:t xml:space="preserve"> is organized to first review electricity demand, then resources</w:t>
      </w:r>
      <w:r w:rsidR="004C0B6C">
        <w:t>,</w:t>
      </w:r>
      <w:r w:rsidR="002723A9">
        <w:t xml:space="preserve"> and the balance of those resources versus demand</w:t>
      </w:r>
      <w:r w:rsidR="00952DBC">
        <w:t>. It addresses several key questions, including</w:t>
      </w:r>
      <w:r w:rsidR="002723A9">
        <w:t xml:space="preserve">: does the District have enough electricity under contract to meet its projected demand?  </w:t>
      </w:r>
      <w:r w:rsidR="00BD3E94">
        <w:t xml:space="preserve">How much more electricity will the District need to meet that demand over the </w:t>
      </w:r>
      <w:r w:rsidR="00950C5E">
        <w:t>seventeen</w:t>
      </w:r>
      <w:r w:rsidR="00BD3E94">
        <w:t xml:space="preserve">-year forecast period?  </w:t>
      </w:r>
      <w:r w:rsidR="002723A9">
        <w:t>The IRP evaluates this balance for multiple resource mi</w:t>
      </w:r>
      <w:r w:rsidR="00BD3E94">
        <w:t>x scenarios</w:t>
      </w:r>
      <w:r w:rsidR="002723A9">
        <w:t xml:space="preserve"> </w:t>
      </w:r>
      <w:r w:rsidR="00BD3E94">
        <w:t>or portfolios</w:t>
      </w:r>
      <w:r w:rsidR="002723A9">
        <w:t xml:space="preserve">, calculating the net present value of total cost to the District to meet its load and how that present value varies as the value of key input variables vary.  This allows the District to further explore resource scenarios that may have similar </w:t>
      </w:r>
      <w:r w:rsidR="004C0B6C">
        <w:t>costs</w:t>
      </w:r>
      <w:r w:rsidR="002723A9">
        <w:t xml:space="preserve">, but </w:t>
      </w:r>
      <w:r w:rsidR="005A2FBD">
        <w:t xml:space="preserve">a wider variance around that cost.  </w:t>
      </w:r>
      <w:r w:rsidR="004C0B6C">
        <w:t>A wider</w:t>
      </w:r>
      <w:r w:rsidR="005A2FBD">
        <w:t xml:space="preserve"> variance </w:t>
      </w:r>
      <w:r w:rsidR="00BD3E94">
        <w:t xml:space="preserve">generally </w:t>
      </w:r>
      <w:r w:rsidR="005A2FBD">
        <w:t xml:space="preserve">means higher </w:t>
      </w:r>
      <w:proofErr w:type="gramStart"/>
      <w:r w:rsidR="005A2FBD">
        <w:t>risk</w:t>
      </w:r>
      <w:r w:rsidR="00155C84">
        <w:t>, and</w:t>
      </w:r>
      <w:proofErr w:type="gramEnd"/>
      <w:r w:rsidR="00155C84">
        <w:t xml:space="preserve"> </w:t>
      </w:r>
      <w:r w:rsidR="00BD3E94">
        <w:t>may indicate more uncertainty about the values of key inputs</w:t>
      </w:r>
      <w:r w:rsidR="00155C84">
        <w:t>.</w:t>
      </w:r>
      <w:r w:rsidR="00BD3E94">
        <w:t xml:space="preserve"> the District must decide which resource risks it is willing to take and how to manage unavoidable risk</w:t>
      </w:r>
      <w:r w:rsidR="004C0B6C">
        <w:t>s</w:t>
      </w:r>
      <w:r w:rsidR="00BD3E94">
        <w:t xml:space="preserve"> that may be associated with different resource portfolio options.  The results also calculate </w:t>
      </w:r>
      <w:r w:rsidR="001D7597">
        <w:t xml:space="preserve">metrics such as </w:t>
      </w:r>
      <w:r w:rsidR="00BD3E94">
        <w:t xml:space="preserve">whether the identified portfolio meets </w:t>
      </w:r>
      <w:r w:rsidR="001D7597">
        <w:t>the District’s Greenhouse Gas emissions goals and resource adequacy requirements that may be imposed by the State of California.</w:t>
      </w:r>
    </w:p>
    <w:p w14:paraId="786F1370" w14:textId="629835C2" w:rsidR="00556D41" w:rsidRDefault="00033008" w:rsidP="001D1E48">
      <w:pPr>
        <w:spacing w:before="120"/>
      </w:pPr>
      <w:r w:rsidRPr="00C855C7">
        <w:t>IRPs require the use of analytical tools capable of evaluating and comparing the costs and</w:t>
      </w:r>
      <w:r>
        <w:t xml:space="preserve"> </w:t>
      </w:r>
      <w:r w:rsidRPr="00C855C7">
        <w:t>benefits of a comprehensive set of alternative supply and demand resources. Supply options typically</w:t>
      </w:r>
      <w:r>
        <w:t xml:space="preserve"> </w:t>
      </w:r>
      <w:r w:rsidRPr="00C855C7">
        <w:t>include the evaluation of new conventional generation resources, renewable energy technologies, and</w:t>
      </w:r>
      <w:r>
        <w:t xml:space="preserve"> </w:t>
      </w:r>
      <w:r w:rsidRPr="00C855C7">
        <w:t>distributed energy resources. Demand options typically include consideration of demand response</w:t>
      </w:r>
      <w:r>
        <w:t xml:space="preserve"> </w:t>
      </w:r>
      <w:r w:rsidRPr="00C855C7">
        <w:t>programs, energy efficiency programs, and other “behind the meter” options which may reduce the</w:t>
      </w:r>
      <w:r>
        <w:t xml:space="preserve"> </w:t>
      </w:r>
      <w:r w:rsidRPr="00C855C7">
        <w:t>overall load that the utility must be prepared to supply.</w:t>
      </w:r>
      <w:r w:rsidRPr="00C855C7" w:rsidDel="008717F0">
        <w:t xml:space="preserve"> </w:t>
      </w:r>
      <w:r w:rsidR="001D7597">
        <w:t xml:space="preserve">An IRP is intended to launch conversation and reflection.  The conversation </w:t>
      </w:r>
      <w:r w:rsidR="004A2DAD">
        <w:t>focuses on</w:t>
      </w:r>
      <w:r w:rsidR="005B299A">
        <w:t xml:space="preserve"> the magnitude and shape of the electricity load that the District must plan to meet and what resources it will use to meet those demands. </w:t>
      </w:r>
      <w:r w:rsidR="004A2DAD">
        <w:t xml:space="preserve"> </w:t>
      </w:r>
      <w:r w:rsidR="005B299A">
        <w:t>Load, its shape, the type</w:t>
      </w:r>
      <w:r w:rsidR="004C0B6C">
        <w:t>,</w:t>
      </w:r>
      <w:r w:rsidR="005B299A">
        <w:t xml:space="preserve"> and cost of resources to meet it</w:t>
      </w:r>
      <w:r w:rsidR="00952DBC">
        <w:t>,</w:t>
      </w:r>
      <w:r w:rsidR="005B299A">
        <w:t xml:space="preserve"> are all uncertain.  A large part of the IRP process is to recognize that uncertainty and collectively evaluate those uncertainties relative to the risk preferences of the District and its customers. </w:t>
      </w:r>
      <w:r w:rsidR="004A2DAD">
        <w:t xml:space="preserve">Overall, it is a conversation about the District’s future.  Aspen, Flynn </w:t>
      </w:r>
      <w:r w:rsidR="006D3F9C">
        <w:t xml:space="preserve">RCI </w:t>
      </w:r>
      <w:r w:rsidR="004A2DAD">
        <w:t xml:space="preserve">and Better Climate are privileged to help lead the District’s first-ever formal conversation to plan its future in this way. </w:t>
      </w:r>
    </w:p>
    <w:p w14:paraId="07D5A273" w14:textId="782E00EB" w:rsidR="00EC07C0" w:rsidRPr="00805634" w:rsidRDefault="005729DC" w:rsidP="00EC07C0">
      <w:pPr>
        <w:pStyle w:val="Heading1"/>
        <w:shd w:val="clear" w:color="auto" w:fill="007033"/>
        <w:rPr>
          <w:color w:val="FFFFFF" w:themeColor="background1"/>
        </w:rPr>
      </w:pPr>
      <w:bookmarkStart w:id="4" w:name="_Toc153273283"/>
      <w:bookmarkStart w:id="5" w:name="_Toc153451640"/>
      <w:r>
        <w:rPr>
          <w:color w:val="FFFFFF" w:themeColor="background1"/>
        </w:rPr>
        <w:t>Load</w:t>
      </w:r>
      <w:r w:rsidR="00DE157C">
        <w:rPr>
          <w:color w:val="FFFFFF" w:themeColor="background1"/>
        </w:rPr>
        <w:t xml:space="preserve"> Forecast</w:t>
      </w:r>
      <w:bookmarkEnd w:id="4"/>
      <w:bookmarkEnd w:id="5"/>
    </w:p>
    <w:p w14:paraId="1CDC7480" w14:textId="77777777" w:rsidR="00DE157C" w:rsidRPr="00BF23E9" w:rsidRDefault="00DE157C" w:rsidP="00836120">
      <w:pPr>
        <w:pStyle w:val="Heading2"/>
      </w:pPr>
      <w:bookmarkStart w:id="6" w:name="_Toc153273284"/>
      <w:bookmarkStart w:id="7" w:name="_Toc153451641"/>
      <w:r w:rsidRPr="00BF23E9">
        <w:t>Overview</w:t>
      </w:r>
      <w:bookmarkEnd w:id="6"/>
      <w:bookmarkEnd w:id="7"/>
    </w:p>
    <w:p w14:paraId="506E11D0" w14:textId="77777777" w:rsidR="00DE157C" w:rsidRPr="00015CB4" w:rsidRDefault="00DE157C" w:rsidP="003A3A04">
      <w:pPr>
        <w:pStyle w:val="BodyText"/>
        <w:spacing w:before="0"/>
        <w:rPr>
          <w:sz w:val="24"/>
          <w:szCs w:val="24"/>
        </w:rPr>
      </w:pPr>
      <w:r w:rsidRPr="00015CB4">
        <w:rPr>
          <w:sz w:val="24"/>
          <w:szCs w:val="24"/>
        </w:rPr>
        <w:t xml:space="preserve">Aspen developed a 17-year load forecast for the District’s 2024 Integrated Resource Plan.  The approach results in annual, </w:t>
      </w:r>
      <w:proofErr w:type="gramStart"/>
      <w:r w:rsidRPr="00015CB4">
        <w:rPr>
          <w:sz w:val="24"/>
          <w:szCs w:val="24"/>
        </w:rPr>
        <w:t>monthly</w:t>
      </w:r>
      <w:proofErr w:type="gramEnd"/>
      <w:r w:rsidRPr="00015CB4">
        <w:rPr>
          <w:sz w:val="24"/>
          <w:szCs w:val="24"/>
        </w:rPr>
        <w:t xml:space="preserve"> and hourly forecasts under three main scenarios and three additional alternatives that test other potential outcomes. </w:t>
      </w:r>
    </w:p>
    <w:p w14:paraId="29AE450F" w14:textId="0BAC08C2" w:rsidR="00DE157C" w:rsidRPr="00015CB4" w:rsidRDefault="00DE157C" w:rsidP="00DE157C">
      <w:pPr>
        <w:pStyle w:val="BodyText"/>
        <w:rPr>
          <w:sz w:val="24"/>
          <w:szCs w:val="24"/>
        </w:rPr>
      </w:pPr>
      <w:r w:rsidRPr="00015CB4">
        <w:rPr>
          <w:sz w:val="24"/>
          <w:szCs w:val="24"/>
        </w:rPr>
        <w:lastRenderedPageBreak/>
        <w:t>Using annual load and meter count data for the last 10 years, Aspen observes the District’s annual load grew at</w:t>
      </w:r>
      <w:r w:rsidR="00121062">
        <w:rPr>
          <w:sz w:val="24"/>
          <w:szCs w:val="24"/>
        </w:rPr>
        <w:t xml:space="preserve"> an average of</w:t>
      </w:r>
      <w:r w:rsidRPr="00015CB4">
        <w:rPr>
          <w:sz w:val="24"/>
          <w:szCs w:val="24"/>
        </w:rPr>
        <w:t xml:space="preserve"> 2.1%.  Generally, this is the result of new customer hook-ups, </w:t>
      </w:r>
      <w:r w:rsidR="009E1E45">
        <w:rPr>
          <w:sz w:val="24"/>
          <w:szCs w:val="24"/>
        </w:rPr>
        <w:t xml:space="preserve">as </w:t>
      </w:r>
      <w:r w:rsidRPr="00015CB4">
        <w:rPr>
          <w:sz w:val="24"/>
          <w:szCs w:val="24"/>
        </w:rPr>
        <w:t xml:space="preserve">demonstrated in the meter count data.  Aspen assumed this 2.1% growth in </w:t>
      </w:r>
      <w:r w:rsidR="009E1E45">
        <w:rPr>
          <w:sz w:val="24"/>
          <w:szCs w:val="24"/>
        </w:rPr>
        <w:t>the</w:t>
      </w:r>
      <w:r w:rsidR="009E1E45" w:rsidRPr="00015CB4">
        <w:rPr>
          <w:sz w:val="24"/>
          <w:szCs w:val="24"/>
        </w:rPr>
        <w:t xml:space="preserve"> </w:t>
      </w:r>
      <w:r w:rsidRPr="00015CB4">
        <w:rPr>
          <w:sz w:val="24"/>
          <w:szCs w:val="24"/>
        </w:rPr>
        <w:t>mid demand case</w:t>
      </w:r>
      <w:r w:rsidR="009E1E45">
        <w:rPr>
          <w:sz w:val="24"/>
          <w:szCs w:val="24"/>
        </w:rPr>
        <w:t xml:space="preserve">.  We derived </w:t>
      </w:r>
      <w:r w:rsidRPr="00015CB4">
        <w:rPr>
          <w:sz w:val="24"/>
          <w:szCs w:val="24"/>
        </w:rPr>
        <w:t xml:space="preserve">the low and high demand scenarios </w:t>
      </w:r>
      <w:r w:rsidR="009E1E45">
        <w:rPr>
          <w:sz w:val="24"/>
          <w:szCs w:val="24"/>
        </w:rPr>
        <w:t xml:space="preserve">by </w:t>
      </w:r>
      <w:r w:rsidR="00121062">
        <w:rPr>
          <w:sz w:val="24"/>
          <w:szCs w:val="24"/>
        </w:rPr>
        <w:t>adding and subtracting one</w:t>
      </w:r>
      <w:r w:rsidR="009E1E45" w:rsidRPr="00CC2515">
        <w:rPr>
          <w:sz w:val="24"/>
          <w:szCs w:val="24"/>
        </w:rPr>
        <w:t xml:space="preserve"> standard deviation from the mean growth rate</w:t>
      </w:r>
      <w:r w:rsidR="00121062">
        <w:rPr>
          <w:sz w:val="24"/>
          <w:szCs w:val="24"/>
        </w:rPr>
        <w:t xml:space="preserve">.  This yields </w:t>
      </w:r>
      <w:r w:rsidR="009E1E45" w:rsidRPr="00015CB4">
        <w:rPr>
          <w:sz w:val="24"/>
          <w:szCs w:val="24"/>
        </w:rPr>
        <w:t xml:space="preserve">1.6% and 2.6% </w:t>
      </w:r>
      <w:r w:rsidRPr="00015CB4">
        <w:rPr>
          <w:sz w:val="24"/>
          <w:szCs w:val="24"/>
        </w:rPr>
        <w:t xml:space="preserve">respectively.  </w:t>
      </w:r>
    </w:p>
    <w:p w14:paraId="1D9C2AE4" w14:textId="6F237D44" w:rsidR="00DE157C" w:rsidRPr="00015CB4" w:rsidRDefault="00DE157C" w:rsidP="00DE157C">
      <w:pPr>
        <w:pStyle w:val="BodyText"/>
        <w:rPr>
          <w:sz w:val="24"/>
          <w:szCs w:val="24"/>
        </w:rPr>
      </w:pPr>
      <w:r w:rsidRPr="00015CB4">
        <w:rPr>
          <w:sz w:val="24"/>
          <w:szCs w:val="24"/>
        </w:rPr>
        <w:t xml:space="preserve"> Aspen modified </w:t>
      </w:r>
      <w:r w:rsidR="009E1E45">
        <w:rPr>
          <w:sz w:val="24"/>
          <w:szCs w:val="24"/>
        </w:rPr>
        <w:t xml:space="preserve">the baseline </w:t>
      </w:r>
      <w:r w:rsidRPr="00015CB4">
        <w:rPr>
          <w:sz w:val="24"/>
          <w:szCs w:val="24"/>
        </w:rPr>
        <w:t>demand for key impacts such as energy efficiency, customer-owned photovoltaic generation, electric vehicle charging and the substitution of electricity to serve uses supplied today by other fuels, such as natural gas.  The demand impacts from these “modifying activities” are more uncertain than the general demand trend.  Aspen aggregated these by customer class to produce the retail sales and total gross load forecast for input into the IRP.</w:t>
      </w:r>
      <w:r w:rsidR="009E1E45" w:rsidRPr="009E1E45">
        <w:rPr>
          <w:rStyle w:val="FootnoteReference"/>
          <w:sz w:val="24"/>
          <w:szCs w:val="24"/>
        </w:rPr>
        <w:t xml:space="preserve"> </w:t>
      </w:r>
      <w:r w:rsidR="009E1E45" w:rsidRPr="00015CB4">
        <w:rPr>
          <w:rStyle w:val="FootnoteReference"/>
          <w:sz w:val="24"/>
          <w:szCs w:val="24"/>
        </w:rPr>
        <w:footnoteReference w:id="2"/>
      </w:r>
    </w:p>
    <w:p w14:paraId="0B262986" w14:textId="0F9EC51E" w:rsidR="00DE157C" w:rsidRPr="00015CB4" w:rsidRDefault="00DE157C" w:rsidP="00DE157C">
      <w:pPr>
        <w:pStyle w:val="BodyText"/>
        <w:rPr>
          <w:sz w:val="24"/>
          <w:szCs w:val="24"/>
        </w:rPr>
      </w:pPr>
      <w:r w:rsidRPr="00015CB4">
        <w:rPr>
          <w:sz w:val="24"/>
          <w:szCs w:val="24"/>
        </w:rPr>
        <w:t>Broadly, Aspen applied a time series approach to recorded consumption measured at customer meters to derive the monthly and hourly demand patterns.</w:t>
      </w:r>
      <w:r w:rsidRPr="00015CB4">
        <w:rPr>
          <w:rStyle w:val="FootnoteReference"/>
          <w:sz w:val="24"/>
          <w:szCs w:val="24"/>
        </w:rPr>
        <w:footnoteReference w:id="3"/>
      </w:r>
      <w:r w:rsidRPr="00015CB4">
        <w:rPr>
          <w:sz w:val="24"/>
          <w:szCs w:val="24"/>
        </w:rPr>
        <w:t xml:space="preserve">  Aspen implemented its time series model using machine learning, operating on a python platform, using three years of </w:t>
      </w:r>
      <w:r w:rsidR="00FF18F8">
        <w:rPr>
          <w:sz w:val="24"/>
          <w:szCs w:val="24"/>
        </w:rPr>
        <w:t xml:space="preserve">automated meter data or advanced metering infrastructure </w:t>
      </w:r>
      <w:r w:rsidRPr="00015CB4">
        <w:rPr>
          <w:sz w:val="24"/>
          <w:szCs w:val="24"/>
        </w:rPr>
        <w:t xml:space="preserve">(AMI) </w:t>
      </w:r>
      <w:r w:rsidR="00FF18F8">
        <w:rPr>
          <w:sz w:val="24"/>
          <w:szCs w:val="24"/>
        </w:rPr>
        <w:t xml:space="preserve">data </w:t>
      </w:r>
      <w:r w:rsidRPr="00015CB4">
        <w:rPr>
          <w:sz w:val="24"/>
          <w:szCs w:val="24"/>
        </w:rPr>
        <w:t>for each customer class, in addition to total hourly deliveries from UAMPS to the District, back to January 2018.</w:t>
      </w:r>
      <w:r w:rsidRPr="00015CB4">
        <w:rPr>
          <w:rStyle w:val="FootnoteReference"/>
          <w:sz w:val="24"/>
          <w:szCs w:val="24"/>
        </w:rPr>
        <w:footnoteReference w:id="4"/>
      </w:r>
      <w:r w:rsidRPr="00015CB4">
        <w:rPr>
          <w:sz w:val="24"/>
          <w:szCs w:val="24"/>
        </w:rPr>
        <w:t xml:space="preserve"> </w:t>
      </w:r>
    </w:p>
    <w:p w14:paraId="5213B21A" w14:textId="1BC25B2E" w:rsidR="00DE157C" w:rsidRPr="00015CB4" w:rsidRDefault="00DE157C" w:rsidP="00DE157C">
      <w:pPr>
        <w:pStyle w:val="BodyText"/>
        <w:rPr>
          <w:sz w:val="24"/>
          <w:szCs w:val="24"/>
        </w:rPr>
      </w:pPr>
      <w:r w:rsidRPr="00015CB4">
        <w:rPr>
          <w:sz w:val="24"/>
          <w:szCs w:val="24"/>
        </w:rPr>
        <w:t xml:space="preserve">Peak demand for </w:t>
      </w:r>
      <w:r w:rsidR="009E1E45">
        <w:rPr>
          <w:sz w:val="24"/>
          <w:szCs w:val="24"/>
        </w:rPr>
        <w:t>the District</w:t>
      </w:r>
      <w:r w:rsidR="009E1E45" w:rsidRPr="00015CB4">
        <w:rPr>
          <w:sz w:val="24"/>
          <w:szCs w:val="24"/>
        </w:rPr>
        <w:t xml:space="preserve"> </w:t>
      </w:r>
      <w:r w:rsidRPr="00015CB4">
        <w:rPr>
          <w:sz w:val="24"/>
          <w:szCs w:val="24"/>
        </w:rPr>
        <w:t xml:space="preserve">historically occurs in December and varies by 2-3 MWs each year.  Since 2014, peak demand has </w:t>
      </w:r>
      <w:proofErr w:type="gramStart"/>
      <w:r w:rsidRPr="00015CB4">
        <w:rPr>
          <w:sz w:val="24"/>
          <w:szCs w:val="24"/>
        </w:rPr>
        <w:t>decreased;</w:t>
      </w:r>
      <w:proofErr w:type="gramEnd"/>
      <w:r w:rsidRPr="00015CB4">
        <w:rPr>
          <w:sz w:val="24"/>
          <w:szCs w:val="24"/>
        </w:rPr>
        <w:t xml:space="preserve"> reaching 38 MWs in 2015 and only 34.5 MWs in January of 2023.  </w:t>
      </w:r>
      <w:r w:rsidR="00451351">
        <w:rPr>
          <w:sz w:val="24"/>
          <w:szCs w:val="24"/>
        </w:rPr>
        <w:t>By 2040,</w:t>
      </w:r>
      <w:r w:rsidRPr="00015CB4">
        <w:rPr>
          <w:sz w:val="24"/>
          <w:szCs w:val="24"/>
        </w:rPr>
        <w:t xml:space="preserve"> we </w:t>
      </w:r>
      <w:r w:rsidR="00451351">
        <w:rPr>
          <w:sz w:val="24"/>
          <w:szCs w:val="24"/>
        </w:rPr>
        <w:t>project</w:t>
      </w:r>
      <w:r w:rsidR="00451351" w:rsidRPr="00015CB4">
        <w:rPr>
          <w:sz w:val="24"/>
          <w:szCs w:val="24"/>
        </w:rPr>
        <w:t xml:space="preserve"> </w:t>
      </w:r>
      <w:r w:rsidRPr="00015CB4">
        <w:rPr>
          <w:sz w:val="24"/>
          <w:szCs w:val="24"/>
        </w:rPr>
        <w:t>the peak load requirement to increase to 47.5 MWs</w:t>
      </w:r>
      <w:r w:rsidR="00451351">
        <w:rPr>
          <w:sz w:val="24"/>
          <w:szCs w:val="24"/>
        </w:rPr>
        <w:t xml:space="preserve">, driven </w:t>
      </w:r>
      <w:proofErr w:type="gramStart"/>
      <w:r w:rsidR="00451351">
        <w:rPr>
          <w:sz w:val="24"/>
          <w:szCs w:val="24"/>
        </w:rPr>
        <w:t xml:space="preserve">by </w:t>
      </w:r>
      <w:r w:rsidRPr="00015CB4">
        <w:rPr>
          <w:sz w:val="24"/>
          <w:szCs w:val="24"/>
        </w:rPr>
        <w:t xml:space="preserve"> the</w:t>
      </w:r>
      <w:proofErr w:type="gramEnd"/>
      <w:r w:rsidRPr="00015CB4">
        <w:rPr>
          <w:sz w:val="24"/>
          <w:szCs w:val="24"/>
        </w:rPr>
        <w:t xml:space="preserve"> addition of charging load, electrification, and </w:t>
      </w:r>
      <w:r w:rsidR="00451351">
        <w:rPr>
          <w:sz w:val="24"/>
          <w:szCs w:val="24"/>
        </w:rPr>
        <w:t>District population</w:t>
      </w:r>
      <w:r w:rsidR="00451351" w:rsidRPr="00015CB4">
        <w:rPr>
          <w:sz w:val="24"/>
          <w:szCs w:val="24"/>
        </w:rPr>
        <w:t xml:space="preserve"> </w:t>
      </w:r>
      <w:r w:rsidRPr="00015CB4">
        <w:rPr>
          <w:sz w:val="24"/>
          <w:szCs w:val="24"/>
        </w:rPr>
        <w:t>growth.</w:t>
      </w:r>
    </w:p>
    <w:p w14:paraId="58A460AB" w14:textId="3E5EF04A" w:rsidR="00DE157C" w:rsidRPr="00015CB4" w:rsidRDefault="00DE157C" w:rsidP="00DE157C">
      <w:pPr>
        <w:pStyle w:val="BodyText"/>
        <w:rPr>
          <w:noProof/>
          <w:sz w:val="24"/>
          <w:szCs w:val="24"/>
        </w:rPr>
      </w:pPr>
      <w:r w:rsidRPr="00015CB4">
        <w:rPr>
          <w:sz w:val="24"/>
          <w:szCs w:val="24"/>
        </w:rPr>
        <w:t xml:space="preserve">Figure 1 displays the baseline </w:t>
      </w:r>
      <w:r w:rsidR="003F48B5">
        <w:rPr>
          <w:sz w:val="24"/>
          <w:szCs w:val="24"/>
        </w:rPr>
        <w:t xml:space="preserve">load </w:t>
      </w:r>
      <w:r w:rsidR="00C67586">
        <w:rPr>
          <w:sz w:val="24"/>
          <w:szCs w:val="24"/>
        </w:rPr>
        <w:t xml:space="preserve">forecast.  It </w:t>
      </w:r>
      <w:r w:rsidRPr="00015CB4">
        <w:rPr>
          <w:sz w:val="24"/>
          <w:szCs w:val="24"/>
        </w:rPr>
        <w:t xml:space="preserve">represents annual </w:t>
      </w:r>
      <w:r w:rsidR="00C67586">
        <w:rPr>
          <w:sz w:val="24"/>
          <w:szCs w:val="24"/>
        </w:rPr>
        <w:t xml:space="preserve">demand, reflecting </w:t>
      </w:r>
      <w:r w:rsidR="00C67586" w:rsidRPr="00015CB4">
        <w:rPr>
          <w:sz w:val="24"/>
          <w:szCs w:val="24"/>
        </w:rPr>
        <w:t>TDPUD’s historical load</w:t>
      </w:r>
      <w:r w:rsidR="00C67586">
        <w:rPr>
          <w:sz w:val="24"/>
          <w:szCs w:val="24"/>
        </w:rPr>
        <w:t>,</w:t>
      </w:r>
      <w:r w:rsidR="00C67586" w:rsidRPr="00015CB4">
        <w:rPr>
          <w:sz w:val="24"/>
          <w:szCs w:val="24"/>
        </w:rPr>
        <w:t xml:space="preserve"> </w:t>
      </w:r>
      <w:r w:rsidRPr="00015CB4">
        <w:rPr>
          <w:sz w:val="24"/>
          <w:szCs w:val="24"/>
        </w:rPr>
        <w:t>before the additional load modifiers are included</w:t>
      </w:r>
      <w:r w:rsidR="00C67586">
        <w:rPr>
          <w:sz w:val="24"/>
          <w:szCs w:val="24"/>
        </w:rPr>
        <w:t xml:space="preserve">. </w:t>
      </w:r>
      <w:r w:rsidRPr="00015CB4">
        <w:rPr>
          <w:sz w:val="24"/>
          <w:szCs w:val="24"/>
        </w:rPr>
        <w:t xml:space="preserve">   </w:t>
      </w:r>
    </w:p>
    <w:p w14:paraId="351D5611" w14:textId="4B3C0942" w:rsidR="00DE157C" w:rsidRPr="004B07BE" w:rsidRDefault="00DE157C" w:rsidP="00DE157C">
      <w:pPr>
        <w:pStyle w:val="BodyText"/>
        <w:keepNext/>
        <w:keepLines/>
        <w:rPr>
          <w:b/>
          <w:bCs/>
        </w:rPr>
      </w:pPr>
      <w:r w:rsidRPr="004B07BE">
        <w:rPr>
          <w:b/>
          <w:bCs/>
        </w:rPr>
        <w:lastRenderedPageBreak/>
        <w:t>Figure 1: Baseline Annual Load Forecast (Before Load Modifiers)</w:t>
      </w:r>
    </w:p>
    <w:p w14:paraId="417B8AC4" w14:textId="77777777" w:rsidR="00DE157C" w:rsidRDefault="00DE157C" w:rsidP="00DE157C">
      <w:pPr>
        <w:pStyle w:val="BodyText"/>
      </w:pPr>
      <w:r>
        <w:rPr>
          <w:noProof/>
        </w:rPr>
        <w:drawing>
          <wp:inline distT="0" distB="0" distL="0" distR="0" wp14:anchorId="7A2C05BE" wp14:editId="05E53E3E">
            <wp:extent cx="4913630" cy="2354515"/>
            <wp:effectExtent l="0" t="0" r="1270" b="8255"/>
            <wp:docPr id="1030838085" name="Picture 1030838085" descr="A graph showing the growth of the perio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838085" name="Picture 1" descr="A graph showing the growth of the period&#10;&#10;Description automatically generated with medium confidenc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39293" cy="2366812"/>
                    </a:xfrm>
                    <a:prstGeom prst="rect">
                      <a:avLst/>
                    </a:prstGeom>
                    <a:noFill/>
                    <a:ln>
                      <a:noFill/>
                    </a:ln>
                  </pic:spPr>
                </pic:pic>
              </a:graphicData>
            </a:graphic>
          </wp:inline>
        </w:drawing>
      </w:r>
    </w:p>
    <w:p w14:paraId="3B874AB5" w14:textId="347C1B7E" w:rsidR="00DE157C" w:rsidRPr="00015CB4" w:rsidRDefault="00DE157C" w:rsidP="00015CB4">
      <w:pPr>
        <w:pStyle w:val="BodyText"/>
        <w:rPr>
          <w:b/>
          <w:bCs/>
          <w:sz w:val="24"/>
          <w:szCs w:val="24"/>
        </w:rPr>
      </w:pPr>
      <w:r w:rsidRPr="00015CB4">
        <w:rPr>
          <w:sz w:val="24"/>
          <w:szCs w:val="24"/>
        </w:rPr>
        <w:t>The hourly load modifiers are forecast separately and added to the baseline forecast to arrive at the annual and monthly forecast.  Figure 2 provides the resulting Mid, Low and High demand cases which include the load modifiers and adjusted annual trend.</w:t>
      </w:r>
      <w:r w:rsidRPr="00015CB4">
        <w:rPr>
          <w:rStyle w:val="FootnoteReference"/>
          <w:sz w:val="24"/>
          <w:szCs w:val="24"/>
        </w:rPr>
        <w:footnoteReference w:id="5"/>
      </w:r>
    </w:p>
    <w:p w14:paraId="5049E2DC" w14:textId="489A4F24" w:rsidR="00DE157C" w:rsidRPr="004B07BE" w:rsidRDefault="00DE157C" w:rsidP="00DE157C">
      <w:pPr>
        <w:pStyle w:val="BodyText"/>
        <w:keepNext/>
        <w:keepLines/>
        <w:rPr>
          <w:b/>
          <w:bCs/>
        </w:rPr>
      </w:pPr>
      <w:r w:rsidRPr="004B07BE">
        <w:rPr>
          <w:b/>
          <w:bCs/>
        </w:rPr>
        <w:t xml:space="preserve">Figure </w:t>
      </w:r>
      <w:r>
        <w:rPr>
          <w:b/>
          <w:bCs/>
        </w:rPr>
        <w:t>2</w:t>
      </w:r>
      <w:r w:rsidRPr="004B07BE">
        <w:rPr>
          <w:b/>
          <w:bCs/>
        </w:rPr>
        <w:t>: Annual Load Forecast Scenarios</w:t>
      </w:r>
    </w:p>
    <w:p w14:paraId="3D90FB59" w14:textId="77777777" w:rsidR="00DE157C" w:rsidRDefault="00DE157C" w:rsidP="00DE157C">
      <w:pPr>
        <w:pStyle w:val="BodyText"/>
      </w:pPr>
      <w:r>
        <w:rPr>
          <w:noProof/>
        </w:rPr>
        <w:drawing>
          <wp:inline distT="0" distB="0" distL="0" distR="0" wp14:anchorId="46917982" wp14:editId="55EF57C7">
            <wp:extent cx="4913630" cy="2438400"/>
            <wp:effectExtent l="0" t="0" r="1270" b="0"/>
            <wp:docPr id="377055218" name="Picture 377055218"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055218" name="Picture 2" descr="A graph of different colored lines&#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13630" cy="2438400"/>
                    </a:xfrm>
                    <a:prstGeom prst="rect">
                      <a:avLst/>
                    </a:prstGeom>
                    <a:noFill/>
                  </pic:spPr>
                </pic:pic>
              </a:graphicData>
            </a:graphic>
          </wp:inline>
        </w:drawing>
      </w:r>
    </w:p>
    <w:p w14:paraId="7E074E9C" w14:textId="5647B1A1" w:rsidR="00DE157C" w:rsidRPr="00015CB4" w:rsidRDefault="00DE157C" w:rsidP="00DE157C">
      <w:pPr>
        <w:pStyle w:val="BodyText"/>
        <w:rPr>
          <w:sz w:val="24"/>
          <w:szCs w:val="24"/>
        </w:rPr>
      </w:pPr>
      <w:r w:rsidRPr="00015CB4">
        <w:rPr>
          <w:sz w:val="24"/>
          <w:szCs w:val="24"/>
        </w:rPr>
        <w:t xml:space="preserve">Figure 3 shows the monthly load modifier requirement (or savings) for the mid case.  Electric vehicle charging and solar generation are highly dependent on the time of year due to weather, seasonal </w:t>
      </w:r>
      <w:proofErr w:type="gramStart"/>
      <w:r w:rsidRPr="00015CB4">
        <w:rPr>
          <w:sz w:val="24"/>
          <w:szCs w:val="24"/>
        </w:rPr>
        <w:t>residents</w:t>
      </w:r>
      <w:proofErr w:type="gramEnd"/>
      <w:r w:rsidRPr="00015CB4">
        <w:rPr>
          <w:sz w:val="24"/>
          <w:szCs w:val="24"/>
        </w:rPr>
        <w:t xml:space="preserve"> and tourism.</w:t>
      </w:r>
      <w:r w:rsidRPr="00015CB4">
        <w:rPr>
          <w:rStyle w:val="FootnoteReference"/>
          <w:sz w:val="24"/>
          <w:szCs w:val="24"/>
        </w:rPr>
        <w:footnoteReference w:id="6"/>
      </w:r>
      <w:r w:rsidRPr="00015CB4">
        <w:rPr>
          <w:sz w:val="24"/>
          <w:szCs w:val="24"/>
        </w:rPr>
        <w:t xml:space="preserve">  </w:t>
      </w:r>
    </w:p>
    <w:p w14:paraId="795FA93C" w14:textId="06369FC5" w:rsidR="00DE157C" w:rsidRPr="009E11CB" w:rsidRDefault="00DE157C" w:rsidP="00DE157C">
      <w:pPr>
        <w:pStyle w:val="BodyText"/>
        <w:keepNext/>
        <w:spacing w:before="360"/>
        <w:rPr>
          <w:b/>
          <w:bCs/>
        </w:rPr>
      </w:pPr>
      <w:r w:rsidRPr="009E11CB">
        <w:rPr>
          <w:b/>
          <w:bCs/>
        </w:rPr>
        <w:lastRenderedPageBreak/>
        <w:t xml:space="preserve">Figure </w:t>
      </w:r>
      <w:r>
        <w:rPr>
          <w:b/>
          <w:bCs/>
        </w:rPr>
        <w:t>3</w:t>
      </w:r>
      <w:r w:rsidRPr="009E11CB">
        <w:rPr>
          <w:b/>
          <w:bCs/>
        </w:rPr>
        <w:t>: Monthly Load Modifier kWh requirement (or savings) for the Mid Case</w:t>
      </w:r>
    </w:p>
    <w:p w14:paraId="65EC58A8" w14:textId="77777777" w:rsidR="00DE157C" w:rsidRDefault="00DE157C" w:rsidP="00DE157C">
      <w:pPr>
        <w:pStyle w:val="BodyText"/>
      </w:pPr>
      <w:r>
        <w:rPr>
          <w:noProof/>
        </w:rPr>
        <w:drawing>
          <wp:inline distT="0" distB="0" distL="0" distR="0" wp14:anchorId="5A07482E" wp14:editId="6468F336">
            <wp:extent cx="5757166" cy="2524125"/>
            <wp:effectExtent l="0" t="0" r="0" b="0"/>
            <wp:docPr id="1661020233" name="Picture 1661020233"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020233" name="Picture 4" descr="A graph of different colored lines&#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83734" cy="2535773"/>
                    </a:xfrm>
                    <a:prstGeom prst="rect">
                      <a:avLst/>
                    </a:prstGeom>
                    <a:noFill/>
                  </pic:spPr>
                </pic:pic>
              </a:graphicData>
            </a:graphic>
          </wp:inline>
        </w:drawing>
      </w:r>
    </w:p>
    <w:p w14:paraId="37121A98" w14:textId="194C33DC" w:rsidR="00DE157C" w:rsidRPr="00015CB4" w:rsidRDefault="00DE157C" w:rsidP="00DE157C">
      <w:pPr>
        <w:pStyle w:val="BodyText"/>
        <w:rPr>
          <w:sz w:val="24"/>
          <w:szCs w:val="24"/>
        </w:rPr>
      </w:pPr>
      <w:r w:rsidRPr="00015CB4">
        <w:rPr>
          <w:sz w:val="24"/>
          <w:szCs w:val="24"/>
        </w:rPr>
        <w:t>The resulting load forecast produces monthly and peak demand.</w:t>
      </w:r>
      <w:r w:rsidRPr="00015CB4">
        <w:rPr>
          <w:rStyle w:val="FootnoteReference"/>
          <w:sz w:val="24"/>
          <w:szCs w:val="24"/>
        </w:rPr>
        <w:footnoteReference w:id="7"/>
      </w:r>
      <w:r w:rsidRPr="00015CB4">
        <w:rPr>
          <w:sz w:val="24"/>
          <w:szCs w:val="24"/>
        </w:rPr>
        <w:t xml:space="preserve">  Aspen also produced peak hourly profiles for August and December in 2025, 2030, </w:t>
      </w:r>
      <w:r w:rsidR="00AD68B3">
        <w:rPr>
          <w:sz w:val="24"/>
          <w:szCs w:val="24"/>
        </w:rPr>
        <w:t xml:space="preserve">2035, </w:t>
      </w:r>
      <w:r w:rsidRPr="00015CB4">
        <w:rPr>
          <w:sz w:val="24"/>
          <w:szCs w:val="24"/>
        </w:rPr>
        <w:t>and 2040</w:t>
      </w:r>
      <w:r w:rsidR="00451351">
        <w:rPr>
          <w:sz w:val="24"/>
          <w:szCs w:val="24"/>
        </w:rPr>
        <w:t xml:space="preserve">.  These allow the resource model </w:t>
      </w:r>
      <w:r w:rsidRPr="00015CB4">
        <w:rPr>
          <w:sz w:val="24"/>
          <w:szCs w:val="24"/>
        </w:rPr>
        <w:t xml:space="preserve">to assess how </w:t>
      </w:r>
      <w:r w:rsidR="00451351">
        <w:rPr>
          <w:sz w:val="24"/>
          <w:szCs w:val="24"/>
        </w:rPr>
        <w:t>various</w:t>
      </w:r>
      <w:r w:rsidRPr="00015CB4">
        <w:rPr>
          <w:sz w:val="24"/>
          <w:szCs w:val="24"/>
        </w:rPr>
        <w:t xml:space="preserve"> resource </w:t>
      </w:r>
      <w:r w:rsidR="00451351">
        <w:rPr>
          <w:sz w:val="24"/>
          <w:szCs w:val="24"/>
        </w:rPr>
        <w:t>portfolios</w:t>
      </w:r>
      <w:r w:rsidRPr="00015CB4">
        <w:rPr>
          <w:sz w:val="24"/>
          <w:szCs w:val="24"/>
        </w:rPr>
        <w:t xml:space="preserve"> perform on an hourly basis</w:t>
      </w:r>
      <w:r w:rsidR="00AD68B3">
        <w:rPr>
          <w:sz w:val="24"/>
          <w:szCs w:val="24"/>
        </w:rPr>
        <w:t xml:space="preserve"> as shown later in Figure 12</w:t>
      </w:r>
      <w:r w:rsidRPr="00015CB4">
        <w:rPr>
          <w:sz w:val="24"/>
          <w:szCs w:val="24"/>
        </w:rPr>
        <w:t>.</w:t>
      </w:r>
    </w:p>
    <w:p w14:paraId="4C9312D5" w14:textId="4FFE9F15" w:rsidR="00DE157C" w:rsidRPr="004B07BE" w:rsidRDefault="00DE157C" w:rsidP="00836120">
      <w:pPr>
        <w:pStyle w:val="Heading2"/>
      </w:pPr>
      <w:bookmarkStart w:id="8" w:name="_Toc153273285"/>
      <w:bookmarkStart w:id="9" w:name="_Toc153451642"/>
      <w:r w:rsidRPr="004B07BE">
        <w:t>Methodology on Load Modifiers</w:t>
      </w:r>
      <w:r>
        <w:t xml:space="preserve"> and Sensitivities</w:t>
      </w:r>
      <w:bookmarkEnd w:id="8"/>
      <w:bookmarkEnd w:id="9"/>
    </w:p>
    <w:p w14:paraId="41465882" w14:textId="07765F8C" w:rsidR="00DE157C" w:rsidRPr="00015CB4" w:rsidRDefault="00DE157C" w:rsidP="003A3A04">
      <w:pPr>
        <w:pStyle w:val="BodyText"/>
        <w:spacing w:before="0"/>
        <w:rPr>
          <w:sz w:val="24"/>
          <w:szCs w:val="24"/>
        </w:rPr>
      </w:pPr>
      <w:r w:rsidRPr="00015CB4">
        <w:rPr>
          <w:sz w:val="24"/>
          <w:szCs w:val="24"/>
        </w:rPr>
        <w:t xml:space="preserve">Each of the load modifiers are forecast independently using TDPUD supplied data sources and publicly available data.  Aspen focused on primary load concerns for the District including PV adoption, </w:t>
      </w:r>
      <w:r w:rsidR="00B63F59" w:rsidRPr="00015CB4">
        <w:rPr>
          <w:sz w:val="24"/>
          <w:szCs w:val="24"/>
        </w:rPr>
        <w:t xml:space="preserve">electric vehicle charging, </w:t>
      </w:r>
      <w:r w:rsidR="00155C84">
        <w:rPr>
          <w:sz w:val="24"/>
          <w:szCs w:val="24"/>
        </w:rPr>
        <w:t>Energy Efficiency</w:t>
      </w:r>
      <w:r w:rsidR="00155C84" w:rsidRPr="00015CB4">
        <w:rPr>
          <w:sz w:val="24"/>
          <w:szCs w:val="24"/>
        </w:rPr>
        <w:t xml:space="preserve"> </w:t>
      </w:r>
      <w:r w:rsidR="00155C84">
        <w:rPr>
          <w:sz w:val="24"/>
          <w:szCs w:val="24"/>
        </w:rPr>
        <w:t>(</w:t>
      </w:r>
      <w:r w:rsidRPr="00015CB4">
        <w:rPr>
          <w:sz w:val="24"/>
          <w:szCs w:val="24"/>
        </w:rPr>
        <w:t>EE</w:t>
      </w:r>
      <w:r w:rsidR="00155C84">
        <w:rPr>
          <w:sz w:val="24"/>
          <w:szCs w:val="24"/>
        </w:rPr>
        <w:t xml:space="preserve">), </w:t>
      </w:r>
      <w:r w:rsidRPr="00015CB4">
        <w:rPr>
          <w:sz w:val="24"/>
          <w:szCs w:val="24"/>
        </w:rPr>
        <w:t>and electrif</w:t>
      </w:r>
      <w:r w:rsidR="001C20C3">
        <w:rPr>
          <w:sz w:val="24"/>
          <w:szCs w:val="24"/>
        </w:rPr>
        <w:t>ying appliances and buildings.</w:t>
      </w:r>
      <w:r w:rsidR="00B63F59">
        <w:rPr>
          <w:sz w:val="24"/>
          <w:szCs w:val="24"/>
        </w:rPr>
        <w:t xml:space="preserve">  W</w:t>
      </w:r>
      <w:r w:rsidR="00B63F59" w:rsidRPr="00015CB4">
        <w:rPr>
          <w:sz w:val="24"/>
          <w:szCs w:val="24"/>
        </w:rPr>
        <w:t>here data is available</w:t>
      </w:r>
      <w:r w:rsidR="00B63F59">
        <w:rPr>
          <w:sz w:val="24"/>
          <w:szCs w:val="24"/>
        </w:rPr>
        <w:t>, t</w:t>
      </w:r>
      <w:r w:rsidRPr="00015CB4">
        <w:rPr>
          <w:sz w:val="24"/>
          <w:szCs w:val="24"/>
        </w:rPr>
        <w:t>he load modifiers were forecast on an hourly basis</w:t>
      </w:r>
      <w:r w:rsidR="00B63F59">
        <w:rPr>
          <w:sz w:val="24"/>
          <w:szCs w:val="24"/>
        </w:rPr>
        <w:t xml:space="preserve">.  This </w:t>
      </w:r>
      <w:r w:rsidR="00F61A02">
        <w:rPr>
          <w:sz w:val="24"/>
          <w:szCs w:val="24"/>
        </w:rPr>
        <w:t>results in a load profile that identifies the District’s hourly resource requirement.</w:t>
      </w:r>
    </w:p>
    <w:p w14:paraId="161EBA75" w14:textId="6B9CC23B" w:rsidR="00B63F59" w:rsidRPr="00015CB4" w:rsidRDefault="00B63F59" w:rsidP="00B63F59">
      <w:pPr>
        <w:pStyle w:val="BodyText"/>
        <w:rPr>
          <w:sz w:val="24"/>
          <w:szCs w:val="24"/>
        </w:rPr>
      </w:pPr>
      <w:r w:rsidRPr="00015CB4">
        <w:rPr>
          <w:sz w:val="24"/>
          <w:szCs w:val="24"/>
        </w:rPr>
        <w:t xml:space="preserve">Residential and commercial PV data is sourced from TDPUD’s hourly AMI data and used to develop the generation profile for solar in the Truckee area historically.  This accounts for seasonality and magnitude of solar generation by hour.  </w:t>
      </w:r>
      <w:r w:rsidR="001C20C3">
        <w:rPr>
          <w:sz w:val="24"/>
          <w:szCs w:val="24"/>
        </w:rPr>
        <w:t>PV in the c</w:t>
      </w:r>
      <w:r w:rsidRPr="00015CB4">
        <w:rPr>
          <w:sz w:val="24"/>
          <w:szCs w:val="24"/>
        </w:rPr>
        <w:t xml:space="preserve">ommercial </w:t>
      </w:r>
      <w:r w:rsidR="00E14B36">
        <w:rPr>
          <w:sz w:val="24"/>
          <w:szCs w:val="24"/>
        </w:rPr>
        <w:t xml:space="preserve">sector </w:t>
      </w:r>
      <w:r w:rsidRPr="00015CB4">
        <w:rPr>
          <w:sz w:val="24"/>
          <w:szCs w:val="24"/>
        </w:rPr>
        <w:t>is assumed to grow at half the rate of residential</w:t>
      </w:r>
      <w:r w:rsidR="00E14B36">
        <w:rPr>
          <w:sz w:val="24"/>
          <w:szCs w:val="24"/>
        </w:rPr>
        <w:t>.</w:t>
      </w:r>
      <w:r w:rsidRPr="00015CB4">
        <w:rPr>
          <w:sz w:val="24"/>
          <w:szCs w:val="24"/>
        </w:rPr>
        <w:t xml:space="preserve">  In the base case</w:t>
      </w:r>
      <w:r w:rsidR="00A914BD">
        <w:rPr>
          <w:sz w:val="24"/>
          <w:szCs w:val="24"/>
        </w:rPr>
        <w:t>,</w:t>
      </w:r>
      <w:r w:rsidRPr="00015CB4">
        <w:rPr>
          <w:sz w:val="24"/>
          <w:szCs w:val="24"/>
        </w:rPr>
        <w:t xml:space="preserve"> residential PV increases at 2.5% per year and commercial grows at 1.25%.  The higher growth is attributed to the California required building code standards on new construction, however</w:t>
      </w:r>
      <w:r w:rsidR="00A914BD">
        <w:rPr>
          <w:sz w:val="24"/>
          <w:szCs w:val="24"/>
        </w:rPr>
        <w:t>,</w:t>
      </w:r>
      <w:r w:rsidRPr="00015CB4">
        <w:rPr>
          <w:sz w:val="24"/>
          <w:szCs w:val="24"/>
        </w:rPr>
        <w:t xml:space="preserve"> growth is still considered low due to Truckee PV exemptions</w:t>
      </w:r>
      <w:r w:rsidR="00A914BD">
        <w:rPr>
          <w:sz w:val="24"/>
          <w:szCs w:val="24"/>
        </w:rPr>
        <w:t>,</w:t>
      </w:r>
      <w:r w:rsidRPr="00015CB4">
        <w:rPr>
          <w:sz w:val="24"/>
          <w:szCs w:val="24"/>
        </w:rPr>
        <w:t xml:space="preserve"> which are allowed for shade cover and heavy snow load buildings.</w:t>
      </w:r>
      <w:r w:rsidRPr="00015CB4">
        <w:rPr>
          <w:rStyle w:val="FootnoteReference"/>
          <w:sz w:val="24"/>
          <w:szCs w:val="24"/>
        </w:rPr>
        <w:footnoteReference w:id="8"/>
      </w:r>
      <w:r w:rsidRPr="00015CB4">
        <w:rPr>
          <w:sz w:val="24"/>
          <w:szCs w:val="24"/>
        </w:rPr>
        <w:t xml:space="preserve">  In the low load case residential and commercial PV growth rates are 5% and 2.5%</w:t>
      </w:r>
      <w:r w:rsidR="00E14B36">
        <w:rPr>
          <w:sz w:val="24"/>
          <w:szCs w:val="24"/>
        </w:rPr>
        <w:t>.</w:t>
      </w:r>
      <w:r w:rsidRPr="00015CB4">
        <w:rPr>
          <w:sz w:val="24"/>
          <w:szCs w:val="24"/>
        </w:rPr>
        <w:t xml:space="preserve">  </w:t>
      </w:r>
    </w:p>
    <w:p w14:paraId="1B68624A" w14:textId="05276C77" w:rsidR="00DE157C" w:rsidRDefault="00DE157C" w:rsidP="00DE157C">
      <w:pPr>
        <w:pStyle w:val="BodyText"/>
        <w:rPr>
          <w:sz w:val="24"/>
          <w:szCs w:val="24"/>
        </w:rPr>
      </w:pPr>
      <w:r w:rsidRPr="00015CB4">
        <w:rPr>
          <w:sz w:val="24"/>
          <w:szCs w:val="24"/>
        </w:rPr>
        <w:t xml:space="preserve">Electric vehicle charging has a large potential for load growth for Truckee as more and more EVs are purchased coupled with </w:t>
      </w:r>
      <w:r w:rsidR="00E14B36">
        <w:rPr>
          <w:sz w:val="24"/>
          <w:szCs w:val="24"/>
        </w:rPr>
        <w:t xml:space="preserve">the District’s higher demand from more temporary residents and </w:t>
      </w:r>
      <w:r w:rsidR="00E14B36">
        <w:rPr>
          <w:sz w:val="24"/>
          <w:szCs w:val="24"/>
        </w:rPr>
        <w:lastRenderedPageBreak/>
        <w:t>visitors</w:t>
      </w:r>
      <w:r w:rsidRPr="00015CB4">
        <w:rPr>
          <w:sz w:val="24"/>
          <w:szCs w:val="24"/>
        </w:rPr>
        <w:t xml:space="preserve"> (</w:t>
      </w:r>
      <w:r w:rsidR="00E14B36">
        <w:rPr>
          <w:sz w:val="24"/>
          <w:szCs w:val="24"/>
        </w:rPr>
        <w:t xml:space="preserve">leading to more </w:t>
      </w:r>
      <w:r w:rsidRPr="00015CB4">
        <w:rPr>
          <w:sz w:val="24"/>
          <w:szCs w:val="24"/>
        </w:rPr>
        <w:t>vehicle trips) during tourist seasons.</w:t>
      </w:r>
      <w:r w:rsidRPr="00015CB4">
        <w:rPr>
          <w:rStyle w:val="FootnoteReference"/>
          <w:sz w:val="24"/>
          <w:szCs w:val="24"/>
        </w:rPr>
        <w:footnoteReference w:id="9"/>
      </w:r>
      <w:r w:rsidRPr="00015CB4">
        <w:rPr>
          <w:sz w:val="24"/>
          <w:szCs w:val="24"/>
        </w:rPr>
        <w:t xml:space="preserve">  For residential charging, Aspen utilized DMV data and projected Plug-in Electric Vehicle (PEV) stock using a learning curve for new technologies.</w:t>
      </w:r>
      <w:r w:rsidRPr="00015CB4">
        <w:rPr>
          <w:rStyle w:val="FootnoteReference"/>
          <w:sz w:val="24"/>
          <w:szCs w:val="24"/>
        </w:rPr>
        <w:footnoteReference w:id="10"/>
      </w:r>
      <w:r w:rsidRPr="00015CB4">
        <w:rPr>
          <w:sz w:val="24"/>
          <w:szCs w:val="24"/>
        </w:rPr>
        <w:t xml:space="preserve">  This was then paired with an hourly charging pattern for light duty electric vehicles from NREL to generate the load forecast.  PEV market share is adjusted to fit the low and high demand sensitivity cases.  Today, PEVs represent about 3% of the vehicle stock included in the DMV data</w:t>
      </w:r>
      <w:r w:rsidR="00A03B3E">
        <w:rPr>
          <w:sz w:val="24"/>
          <w:szCs w:val="24"/>
        </w:rPr>
        <w:t xml:space="preserve"> for Truckee</w:t>
      </w:r>
      <w:r w:rsidRPr="00015CB4">
        <w:rPr>
          <w:sz w:val="24"/>
          <w:szCs w:val="24"/>
        </w:rPr>
        <w:t xml:space="preserve">, increasing to 13% in the </w:t>
      </w:r>
      <w:r w:rsidR="0092655A">
        <w:rPr>
          <w:sz w:val="24"/>
          <w:szCs w:val="24"/>
        </w:rPr>
        <w:t>M</w:t>
      </w:r>
      <w:r w:rsidRPr="00015CB4">
        <w:rPr>
          <w:sz w:val="24"/>
          <w:szCs w:val="24"/>
        </w:rPr>
        <w:t>id case by the end of the forecast period.</w:t>
      </w:r>
      <w:r w:rsidR="00A03B3E">
        <w:rPr>
          <w:rStyle w:val="FootnoteReference"/>
          <w:sz w:val="24"/>
          <w:szCs w:val="24"/>
        </w:rPr>
        <w:footnoteReference w:id="11"/>
      </w:r>
      <w:r w:rsidRPr="00015CB4">
        <w:rPr>
          <w:sz w:val="24"/>
          <w:szCs w:val="24"/>
        </w:rPr>
        <w:t xml:space="preserve">  For public vehicle charging, Aspen was able to utilize TDPUD’s public charging station data in order to produce the seasonal and hourly load shape from charging.  This was then coupled with the ICF Tahoe-Truckee PEV Readiness Plan trip projections to forecast charging demand.</w:t>
      </w:r>
      <w:r w:rsidRPr="00015CB4">
        <w:rPr>
          <w:rStyle w:val="FootnoteReference"/>
          <w:sz w:val="24"/>
          <w:szCs w:val="24"/>
        </w:rPr>
        <w:footnoteReference w:id="12"/>
      </w:r>
      <w:r w:rsidRPr="00015CB4">
        <w:rPr>
          <w:sz w:val="24"/>
          <w:szCs w:val="24"/>
        </w:rPr>
        <w:t xml:space="preserve">  The Truckee data emphasized the impact from tourism and electric vehicle charging in the summer and more specifically in July.  The current availability of 4WD EV models is limited and results in limited growth in public charging from PEV trips in the winter due to snow conditions.</w:t>
      </w:r>
      <w:r w:rsidRPr="00015CB4">
        <w:rPr>
          <w:rStyle w:val="FootnoteReference"/>
          <w:sz w:val="24"/>
          <w:szCs w:val="24"/>
        </w:rPr>
        <w:footnoteReference w:id="13"/>
      </w:r>
      <w:r w:rsidRPr="00015CB4">
        <w:rPr>
          <w:sz w:val="24"/>
          <w:szCs w:val="24"/>
        </w:rPr>
        <w:t xml:space="preserve">  As more EV models reach the commercial market the EV charging load is expected to increase in the winter months as well.</w:t>
      </w:r>
      <w:r w:rsidRPr="00015CB4">
        <w:rPr>
          <w:rStyle w:val="FootnoteReference"/>
          <w:sz w:val="24"/>
          <w:szCs w:val="24"/>
        </w:rPr>
        <w:footnoteReference w:id="14"/>
      </w:r>
      <w:r w:rsidRPr="00015CB4">
        <w:rPr>
          <w:sz w:val="24"/>
          <w:szCs w:val="24"/>
        </w:rPr>
        <w:t xml:space="preserve">  </w:t>
      </w:r>
    </w:p>
    <w:p w14:paraId="0E8F60D7" w14:textId="44D9450B" w:rsidR="00DE157C" w:rsidRPr="00015CB4" w:rsidRDefault="00DE157C" w:rsidP="00DE157C">
      <w:pPr>
        <w:pStyle w:val="BodyText"/>
        <w:rPr>
          <w:sz w:val="24"/>
          <w:szCs w:val="24"/>
        </w:rPr>
      </w:pPr>
      <w:r w:rsidRPr="00015CB4">
        <w:rPr>
          <w:sz w:val="24"/>
          <w:szCs w:val="24"/>
        </w:rPr>
        <w:t xml:space="preserve">In addition to the three </w:t>
      </w:r>
      <w:r w:rsidR="00133C56">
        <w:rPr>
          <w:sz w:val="24"/>
          <w:szCs w:val="24"/>
        </w:rPr>
        <w:t xml:space="preserve">primary </w:t>
      </w:r>
      <w:r w:rsidRPr="00015CB4">
        <w:rPr>
          <w:sz w:val="24"/>
          <w:szCs w:val="24"/>
        </w:rPr>
        <w:t xml:space="preserve">load scenarios Aspen also crafted two exploratory cases for electric vehicle charging to test the bounds of potential charging requirements.  The first exploratory case examined the potential for heavy duty truck charging from freight moving through the I-80 corridor and the potential for </w:t>
      </w:r>
      <w:proofErr w:type="spellStart"/>
      <w:r w:rsidRPr="00015CB4">
        <w:rPr>
          <w:i/>
          <w:iCs/>
          <w:sz w:val="24"/>
          <w:szCs w:val="24"/>
        </w:rPr>
        <w:t>en</w:t>
      </w:r>
      <w:proofErr w:type="spellEnd"/>
      <w:r w:rsidRPr="00015CB4">
        <w:rPr>
          <w:i/>
          <w:iCs/>
          <w:sz w:val="24"/>
          <w:szCs w:val="24"/>
        </w:rPr>
        <w:t xml:space="preserve"> route</w:t>
      </w:r>
      <w:r w:rsidRPr="00015CB4">
        <w:rPr>
          <w:sz w:val="24"/>
          <w:szCs w:val="24"/>
        </w:rPr>
        <w:t xml:space="preserve"> charging specifically in Truckee.  This would require installation of ultra-fast DC MW charging capabilities and space for trucks to stop and charge along I-80.  Assuming </w:t>
      </w:r>
      <w:r w:rsidR="00121062">
        <w:rPr>
          <w:sz w:val="24"/>
          <w:szCs w:val="24"/>
        </w:rPr>
        <w:t xml:space="preserve">truck stop </w:t>
      </w:r>
      <w:r w:rsidRPr="00015CB4">
        <w:rPr>
          <w:sz w:val="24"/>
          <w:szCs w:val="24"/>
        </w:rPr>
        <w:t>space is available, Aspen estimated an increase in the peak load requirement of 4-6 MW.</w:t>
      </w:r>
      <w:r w:rsidRPr="00015CB4">
        <w:rPr>
          <w:rStyle w:val="FootnoteReference"/>
          <w:sz w:val="24"/>
          <w:szCs w:val="24"/>
        </w:rPr>
        <w:footnoteReference w:id="15"/>
      </w:r>
      <w:r w:rsidRPr="00015CB4">
        <w:rPr>
          <w:sz w:val="24"/>
          <w:szCs w:val="24"/>
        </w:rPr>
        <w:t xml:space="preserve">  This case is still speculative as these trucks are not commercially available and the charging and duty cycles have not been tested. </w:t>
      </w:r>
      <w:r w:rsidR="00121062">
        <w:rPr>
          <w:sz w:val="24"/>
          <w:szCs w:val="24"/>
        </w:rPr>
        <w:t xml:space="preserve"> There are also no truck stops currently located within the District where fast charging stations could be added. </w:t>
      </w:r>
      <w:r w:rsidRPr="00015CB4">
        <w:rPr>
          <w:sz w:val="24"/>
          <w:szCs w:val="24"/>
        </w:rPr>
        <w:t xml:space="preserve"> The </w:t>
      </w:r>
      <w:r w:rsidRPr="00015CB4">
        <w:rPr>
          <w:sz w:val="24"/>
          <w:szCs w:val="24"/>
        </w:rPr>
        <w:lastRenderedPageBreak/>
        <w:t>second exploratory case reviewed a bookend case where all residential vehicles are electric.</w:t>
      </w:r>
      <w:r w:rsidRPr="00015CB4">
        <w:rPr>
          <w:rStyle w:val="FootnoteReference"/>
          <w:sz w:val="24"/>
          <w:szCs w:val="24"/>
        </w:rPr>
        <w:footnoteReference w:id="16"/>
      </w:r>
      <w:r w:rsidRPr="00015CB4">
        <w:rPr>
          <w:sz w:val="24"/>
          <w:szCs w:val="24"/>
        </w:rPr>
        <w:t xml:space="preserve">  In this case the total load requirement increased by 2</w:t>
      </w:r>
      <w:r w:rsidR="00A47A8D">
        <w:rPr>
          <w:sz w:val="24"/>
          <w:szCs w:val="24"/>
        </w:rPr>
        <w:t>6</w:t>
      </w:r>
      <w:r w:rsidRPr="00015CB4">
        <w:rPr>
          <w:sz w:val="24"/>
          <w:szCs w:val="24"/>
        </w:rPr>
        <w:t xml:space="preserve"> GWh by 2040.  That is about 15% of Truckee’s total demand in 2023.</w:t>
      </w:r>
      <w:r w:rsidRPr="00015CB4">
        <w:rPr>
          <w:rStyle w:val="FootnoteReference"/>
          <w:sz w:val="24"/>
          <w:szCs w:val="24"/>
        </w:rPr>
        <w:footnoteReference w:id="17"/>
      </w:r>
    </w:p>
    <w:p w14:paraId="0F38D440" w14:textId="5C240934" w:rsidR="00DE157C" w:rsidRPr="00015CB4" w:rsidRDefault="00133C56" w:rsidP="00DE157C">
      <w:pPr>
        <w:pStyle w:val="BodyText"/>
        <w:rPr>
          <w:sz w:val="24"/>
          <w:szCs w:val="24"/>
        </w:rPr>
      </w:pPr>
      <w:r>
        <w:rPr>
          <w:sz w:val="24"/>
          <w:szCs w:val="24"/>
        </w:rPr>
        <w:t xml:space="preserve">Aspen crafted a case that preserves </w:t>
      </w:r>
      <w:r w:rsidR="00DE157C" w:rsidRPr="00015CB4">
        <w:rPr>
          <w:sz w:val="24"/>
          <w:szCs w:val="24"/>
        </w:rPr>
        <w:t>Energy Efficiency (EE)</w:t>
      </w:r>
      <w:r w:rsidR="00155C84">
        <w:rPr>
          <w:sz w:val="24"/>
          <w:szCs w:val="24"/>
        </w:rPr>
        <w:t>, consistent with the precepts of</w:t>
      </w:r>
      <w:r w:rsidR="00DE157C" w:rsidRPr="00015CB4">
        <w:rPr>
          <w:sz w:val="24"/>
          <w:szCs w:val="24"/>
        </w:rPr>
        <w:t xml:space="preserve"> Integrated Resource planning.  This corresponds to </w:t>
      </w:r>
      <w:r w:rsidR="00155C84">
        <w:rPr>
          <w:sz w:val="24"/>
          <w:szCs w:val="24"/>
        </w:rPr>
        <w:t>EE</w:t>
      </w:r>
      <w:r w:rsidR="00155C84" w:rsidRPr="00015CB4">
        <w:rPr>
          <w:sz w:val="24"/>
          <w:szCs w:val="24"/>
        </w:rPr>
        <w:t xml:space="preserve"> </w:t>
      </w:r>
      <w:r w:rsidR="00DE157C" w:rsidRPr="00015CB4">
        <w:rPr>
          <w:sz w:val="24"/>
          <w:szCs w:val="24"/>
        </w:rPr>
        <w:t xml:space="preserve">having long been known as the cheapest kWh of energy.  For every kWh saved, that </w:t>
      </w:r>
      <w:r w:rsidR="0092655A">
        <w:rPr>
          <w:sz w:val="24"/>
          <w:szCs w:val="24"/>
        </w:rPr>
        <w:t xml:space="preserve">is </w:t>
      </w:r>
      <w:r w:rsidR="00DE157C" w:rsidRPr="00015CB4">
        <w:rPr>
          <w:sz w:val="24"/>
          <w:szCs w:val="24"/>
        </w:rPr>
        <w:t>one less kWh to be procured</w:t>
      </w:r>
      <w:r w:rsidR="0092655A">
        <w:rPr>
          <w:sz w:val="24"/>
          <w:szCs w:val="24"/>
        </w:rPr>
        <w:t xml:space="preserve">.  </w:t>
      </w:r>
      <w:r w:rsidR="00DE157C" w:rsidRPr="00015CB4">
        <w:rPr>
          <w:sz w:val="24"/>
          <w:szCs w:val="24"/>
        </w:rPr>
        <w:t>The District spent an average of $670,000 on energy efficiency programs from 2011 to 2022.  Yet reported savings declined.  This means that the per unit cost of the District’s EE is increasing.  This is mainly attributable to the maturity of lighting replacement programs.</w:t>
      </w:r>
    </w:p>
    <w:p w14:paraId="123357DF" w14:textId="531A9766" w:rsidR="00DE157C" w:rsidRPr="00B037E3" w:rsidRDefault="00DE157C" w:rsidP="00DE157C">
      <w:pPr>
        <w:pStyle w:val="BodyText"/>
        <w:keepNext/>
        <w:keepLines/>
        <w:spacing w:before="120"/>
        <w:rPr>
          <w:b/>
          <w:bCs/>
        </w:rPr>
      </w:pPr>
      <w:r w:rsidRPr="00B037E3">
        <w:rPr>
          <w:b/>
          <w:bCs/>
        </w:rPr>
        <w:t xml:space="preserve">Figure </w:t>
      </w:r>
      <w:r>
        <w:rPr>
          <w:b/>
          <w:bCs/>
        </w:rPr>
        <w:t>4</w:t>
      </w:r>
      <w:r w:rsidRPr="00B037E3">
        <w:rPr>
          <w:b/>
          <w:bCs/>
        </w:rPr>
        <w:t>: Truckee Reported Net Annual Energy Efficiency Savings</w:t>
      </w:r>
    </w:p>
    <w:p w14:paraId="56BEB777" w14:textId="77777777" w:rsidR="00DE157C" w:rsidRDefault="00DE157C" w:rsidP="00DE157C">
      <w:pPr>
        <w:spacing w:before="120"/>
      </w:pPr>
      <w:r>
        <w:rPr>
          <w:noProof/>
        </w:rPr>
        <w:drawing>
          <wp:inline distT="0" distB="0" distL="0" distR="0" wp14:anchorId="29474B0A" wp14:editId="3EAEC06D">
            <wp:extent cx="4298418" cy="2676525"/>
            <wp:effectExtent l="19050" t="19050" r="26035" b="9525"/>
            <wp:docPr id="600274711" name="Picture 600274711" descr="A graph showing the number of energy efficiency savin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274711" name="Picture 4" descr="A graph showing the number of energy efficiency savings&#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15096" cy="2686910"/>
                    </a:xfrm>
                    <a:prstGeom prst="rect">
                      <a:avLst/>
                    </a:prstGeom>
                    <a:noFill/>
                    <a:ln>
                      <a:solidFill>
                        <a:schemeClr val="tx1"/>
                      </a:solidFill>
                    </a:ln>
                  </pic:spPr>
                </pic:pic>
              </a:graphicData>
            </a:graphic>
          </wp:inline>
        </w:drawing>
      </w:r>
    </w:p>
    <w:p w14:paraId="6D912592" w14:textId="77777777" w:rsidR="00DE157C" w:rsidRPr="00B037E3" w:rsidRDefault="00DE157C" w:rsidP="00DE157C">
      <w:pPr>
        <w:rPr>
          <w:sz w:val="18"/>
          <w:szCs w:val="18"/>
        </w:rPr>
      </w:pPr>
      <w:r w:rsidRPr="001E6076">
        <w:rPr>
          <w:sz w:val="18"/>
          <w:szCs w:val="18"/>
        </w:rPr>
        <w:t xml:space="preserve">Source: </w:t>
      </w:r>
      <w:hyperlink r:id="rId30" w:history="1">
        <w:r w:rsidRPr="001E6076">
          <w:rPr>
            <w:rStyle w:val="Hyperlink"/>
            <w:sz w:val="18"/>
            <w:szCs w:val="18"/>
          </w:rPr>
          <w:t>CMUA SB 1037 Annual Status Reports</w:t>
        </w:r>
      </w:hyperlink>
    </w:p>
    <w:p w14:paraId="745B4DF8" w14:textId="42005741" w:rsidR="00DE157C" w:rsidRPr="00015CB4" w:rsidRDefault="00DE157C" w:rsidP="00DE157C">
      <w:pPr>
        <w:pStyle w:val="BodyText"/>
        <w:rPr>
          <w:sz w:val="24"/>
          <w:szCs w:val="24"/>
        </w:rPr>
      </w:pPr>
      <w:r w:rsidRPr="00015CB4">
        <w:rPr>
          <w:sz w:val="24"/>
          <w:szCs w:val="24"/>
        </w:rPr>
        <w:t>Figure 4 illustrates Truckee's reported net annual energy efficiency savings, sourced from CMUA SB 1037 Annual Status Reports.</w:t>
      </w:r>
      <w:r w:rsidRPr="00015CB4">
        <w:rPr>
          <w:rStyle w:val="FootnoteReference"/>
          <w:sz w:val="24"/>
          <w:szCs w:val="24"/>
        </w:rPr>
        <w:footnoteReference w:id="18"/>
      </w:r>
      <w:r w:rsidRPr="00015CB4">
        <w:rPr>
          <w:sz w:val="24"/>
          <w:szCs w:val="24"/>
        </w:rPr>
        <w:t xml:space="preserve">  While traditional program spending primarily targeted EE to reduce load requirements, the same funding source is now also being allocated to electrification incentives, contributing to increased utility load and increased resource procurement to meet that load.</w:t>
      </w:r>
    </w:p>
    <w:p w14:paraId="6DCB0DB7" w14:textId="426018EF" w:rsidR="00DE157C" w:rsidRPr="00015CB4" w:rsidRDefault="00DE157C" w:rsidP="00DE157C">
      <w:pPr>
        <w:pStyle w:val="BodyText"/>
        <w:rPr>
          <w:sz w:val="24"/>
          <w:szCs w:val="24"/>
        </w:rPr>
      </w:pPr>
      <w:r w:rsidRPr="00015CB4">
        <w:rPr>
          <w:sz w:val="24"/>
          <w:szCs w:val="24"/>
        </w:rPr>
        <w:t xml:space="preserve">Whether the District cannot obtain cost-effective load savings from additional EE spending is unclear. </w:t>
      </w:r>
      <w:r w:rsidR="00AD430B">
        <w:rPr>
          <w:sz w:val="24"/>
          <w:szCs w:val="24"/>
        </w:rPr>
        <w:t xml:space="preserve"> </w:t>
      </w:r>
      <w:r w:rsidRPr="00015CB4">
        <w:rPr>
          <w:sz w:val="24"/>
          <w:szCs w:val="24"/>
        </w:rPr>
        <w:t xml:space="preserve">The most recent EE potential and goals study (prepared in 2020 by GDS Associates for CMUA and submitted to the California Energy Commission) estimates the total cumulative EE potential as 2.1% of retail sales by 2040.  This suggests that the TDPUD EE programs are not yet </w:t>
      </w:r>
      <w:r w:rsidRPr="00015CB4">
        <w:rPr>
          <w:sz w:val="24"/>
          <w:szCs w:val="24"/>
        </w:rPr>
        <w:lastRenderedPageBreak/>
        <w:t xml:space="preserve">saturated and that cost-effective EE opportunities remain more available to Truckee than to other </w:t>
      </w:r>
      <w:proofErr w:type="gramStart"/>
      <w:r w:rsidRPr="00015CB4">
        <w:rPr>
          <w:sz w:val="24"/>
          <w:szCs w:val="24"/>
        </w:rPr>
        <w:t>publicly-owned</w:t>
      </w:r>
      <w:proofErr w:type="gramEnd"/>
      <w:r w:rsidRPr="00015CB4">
        <w:rPr>
          <w:sz w:val="24"/>
          <w:szCs w:val="24"/>
        </w:rPr>
        <w:t xml:space="preserve"> utilities.</w:t>
      </w:r>
      <w:r w:rsidRPr="00015CB4">
        <w:rPr>
          <w:rStyle w:val="FootnoteReference"/>
          <w:sz w:val="24"/>
          <w:szCs w:val="24"/>
        </w:rPr>
        <w:footnoteReference w:id="19"/>
      </w:r>
      <w:r w:rsidRPr="00015CB4">
        <w:rPr>
          <w:sz w:val="24"/>
          <w:szCs w:val="24"/>
        </w:rPr>
        <w:t xml:space="preserve">  Whether they are or are not, the district will need to align electrification with EE, assuring </w:t>
      </w:r>
      <w:r w:rsidRPr="00015CB4">
        <w:rPr>
          <w:b/>
          <w:bCs/>
          <w:sz w:val="24"/>
          <w:szCs w:val="24"/>
        </w:rPr>
        <w:t>Efficient Electrification</w:t>
      </w:r>
      <w:r w:rsidRPr="00015CB4">
        <w:rPr>
          <w:sz w:val="24"/>
          <w:szCs w:val="24"/>
        </w:rPr>
        <w:t>.  This means that the replacement of gas appliances and heat pump installations for residents should prioritize the use of the most efficient appliances and that those appliances be installed in homes with efficient building envelopes.  This is essential to minimizing infrastructure upgrades and additional resource procurement costs</w:t>
      </w:r>
      <w:r w:rsidR="00AD430B">
        <w:rPr>
          <w:sz w:val="24"/>
          <w:szCs w:val="24"/>
        </w:rPr>
        <w:t>.</w:t>
      </w:r>
      <w:r w:rsidRPr="00015CB4">
        <w:rPr>
          <w:sz w:val="24"/>
          <w:szCs w:val="24"/>
        </w:rPr>
        <w:t xml:space="preserve">  </w:t>
      </w:r>
    </w:p>
    <w:p w14:paraId="21DA119B" w14:textId="77777777" w:rsidR="00DE157C" w:rsidRDefault="00DE157C" w:rsidP="00DE157C">
      <w:pPr>
        <w:pStyle w:val="BodyText"/>
      </w:pPr>
      <w:r w:rsidRPr="00015CB4">
        <w:rPr>
          <w:sz w:val="24"/>
          <w:szCs w:val="24"/>
        </w:rPr>
        <w:t xml:space="preserve">The 2023 TDPUD IRP offers three load forecast scenarios.  Low load represents high EE savings targets with baseline electrification, while the high load scenario prioritizes accelerated electrification with EE savings limited to its recent historical (lower) value.  </w:t>
      </w:r>
    </w:p>
    <w:p w14:paraId="45E21EFB" w14:textId="2B103366" w:rsidR="00DE157C" w:rsidRPr="003C3AA3" w:rsidRDefault="00DE157C" w:rsidP="00DE157C">
      <w:pPr>
        <w:pStyle w:val="BodyText"/>
        <w:keepNext/>
        <w:spacing w:before="120"/>
        <w:rPr>
          <w:b/>
          <w:bCs/>
        </w:rPr>
      </w:pPr>
      <w:r w:rsidRPr="003C3AA3">
        <w:rPr>
          <w:b/>
          <w:bCs/>
        </w:rPr>
        <w:t xml:space="preserve">Figure </w:t>
      </w:r>
      <w:r>
        <w:rPr>
          <w:b/>
          <w:bCs/>
        </w:rPr>
        <w:t>5</w:t>
      </w:r>
      <w:r w:rsidRPr="003C3AA3">
        <w:rPr>
          <w:b/>
          <w:bCs/>
        </w:rPr>
        <w:t xml:space="preserve">: Energy Efficiency and Electrification </w:t>
      </w:r>
      <w:r>
        <w:rPr>
          <w:b/>
          <w:bCs/>
        </w:rPr>
        <w:t>Scenarios</w:t>
      </w:r>
    </w:p>
    <w:p w14:paraId="0ECB5B74" w14:textId="77777777" w:rsidR="00DE157C" w:rsidRDefault="00DE157C" w:rsidP="00DE157C">
      <w:pPr>
        <w:pStyle w:val="BodyText"/>
      </w:pPr>
      <w:r>
        <w:rPr>
          <w:noProof/>
        </w:rPr>
        <w:drawing>
          <wp:inline distT="0" distB="0" distL="0" distR="0" wp14:anchorId="0FEFD6A0" wp14:editId="7F09702B">
            <wp:extent cx="5581650" cy="4214861"/>
            <wp:effectExtent l="0" t="0" r="0" b="0"/>
            <wp:docPr id="446220295" name="Picture 446220295" descr="A collage of graphs and char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220295" name="Picture 1" descr="A collage of graphs and charts&#10;&#10;Description automatically generated"/>
                    <pic:cNvPicPr/>
                  </pic:nvPicPr>
                  <pic:blipFill>
                    <a:blip r:embed="rId31"/>
                    <a:stretch>
                      <a:fillRect/>
                    </a:stretch>
                  </pic:blipFill>
                  <pic:spPr>
                    <a:xfrm>
                      <a:off x="0" y="0"/>
                      <a:ext cx="5595932" cy="4225646"/>
                    </a:xfrm>
                    <a:prstGeom prst="rect">
                      <a:avLst/>
                    </a:prstGeom>
                  </pic:spPr>
                </pic:pic>
              </a:graphicData>
            </a:graphic>
          </wp:inline>
        </w:drawing>
      </w:r>
    </w:p>
    <w:p w14:paraId="2A802392" w14:textId="77777777" w:rsidR="00DE157C" w:rsidRPr="00015CB4" w:rsidRDefault="00DE157C" w:rsidP="00DE157C">
      <w:pPr>
        <w:pStyle w:val="BodyText"/>
        <w:rPr>
          <w:sz w:val="24"/>
          <w:szCs w:val="24"/>
        </w:rPr>
      </w:pPr>
      <w:r w:rsidRPr="00015CB4">
        <w:rPr>
          <w:sz w:val="24"/>
          <w:szCs w:val="24"/>
        </w:rPr>
        <w:t>In the low load case, cumulative energy efficiency savings exceed 3 GWh by 2040, resulting from new EE programs capturing some portion of remaining potential savings for the District.  Although EE cost ($/kWh) is assumed to increase over time due to diminishing returns from older EE programs, in the low load scenario the cost per kWh saved declines in 2025, 2030, 2035, and 2040 as new savings programs are initiated.  Electrification load growth in the low load case is 1.5 GWh by 2040 and the resulting net load is -1.6 GWh by 2040.</w:t>
      </w:r>
    </w:p>
    <w:p w14:paraId="10E154E2" w14:textId="77777777" w:rsidR="00DE157C" w:rsidRPr="00015CB4" w:rsidRDefault="00DE157C" w:rsidP="00DE157C">
      <w:pPr>
        <w:pStyle w:val="BodyText"/>
        <w:rPr>
          <w:sz w:val="24"/>
          <w:szCs w:val="24"/>
        </w:rPr>
      </w:pPr>
      <w:r w:rsidRPr="00015CB4">
        <w:rPr>
          <w:sz w:val="24"/>
          <w:szCs w:val="24"/>
        </w:rPr>
        <w:lastRenderedPageBreak/>
        <w:t>The mid case assumes historical EE savings and increasing cost ($/kWh) as the programs continue to mature and the previously “low hanging” EE savings diminish.  In this scenario the growth in load from electrification is not offset by the higher EE savings as seen in the previous case.  Electrification load reaches ~1.5 GWh by 2040 as before, but cumulative EE savings are only ~0.6 GWh by 2040.</w:t>
      </w:r>
    </w:p>
    <w:p w14:paraId="2F822876" w14:textId="77777777" w:rsidR="00DE157C" w:rsidRPr="00015CB4" w:rsidRDefault="00DE157C" w:rsidP="00DE157C">
      <w:pPr>
        <w:pStyle w:val="BodyText"/>
        <w:rPr>
          <w:sz w:val="24"/>
          <w:szCs w:val="24"/>
        </w:rPr>
      </w:pPr>
      <w:r w:rsidRPr="00015CB4">
        <w:rPr>
          <w:sz w:val="24"/>
          <w:szCs w:val="24"/>
        </w:rPr>
        <w:t>The high load case demonstrates accelerated electrification of up to ~3.5 GWh by 2040 and limited EE savings.  This case highlights how electrification can drive load growth and peak load requirements when it is not coupled with EE.  Similarly, EE costs are assumed to increase with diminishing returns without new EE programs and new efficient electric appliance programs.</w:t>
      </w:r>
    </w:p>
    <w:p w14:paraId="2F56FFD9" w14:textId="72D33665" w:rsidR="00DE157C" w:rsidRPr="00015CB4" w:rsidRDefault="00DE157C" w:rsidP="00DE157C">
      <w:pPr>
        <w:pStyle w:val="BodyText"/>
        <w:rPr>
          <w:sz w:val="24"/>
          <w:szCs w:val="24"/>
        </w:rPr>
      </w:pPr>
      <w:r w:rsidRPr="00015CB4">
        <w:rPr>
          <w:sz w:val="24"/>
          <w:szCs w:val="24"/>
        </w:rPr>
        <w:t xml:space="preserve">An additional case the District </w:t>
      </w:r>
      <w:r w:rsidR="00836120" w:rsidRPr="00015CB4">
        <w:rPr>
          <w:sz w:val="24"/>
          <w:szCs w:val="24"/>
        </w:rPr>
        <w:t xml:space="preserve">should </w:t>
      </w:r>
      <w:r w:rsidRPr="00015CB4">
        <w:rPr>
          <w:sz w:val="24"/>
          <w:szCs w:val="24"/>
        </w:rPr>
        <w:t>consider is an Efficient Electrification Scenario</w:t>
      </w:r>
      <w:r w:rsidRPr="00015CB4">
        <w:rPr>
          <w:b/>
          <w:bCs/>
          <w:sz w:val="24"/>
          <w:szCs w:val="24"/>
        </w:rPr>
        <w:t xml:space="preserve">. </w:t>
      </w:r>
      <w:r w:rsidRPr="00015CB4">
        <w:rPr>
          <w:sz w:val="24"/>
          <w:szCs w:val="24"/>
        </w:rPr>
        <w:t xml:space="preserve"> It demonstrates an efficient electrification scenario modeled after the CEC’s Building Decarbonization Assessment.</w:t>
      </w:r>
      <w:r w:rsidRPr="00015CB4">
        <w:rPr>
          <w:rStyle w:val="FootnoteReference"/>
          <w:sz w:val="24"/>
          <w:szCs w:val="24"/>
        </w:rPr>
        <w:footnoteReference w:id="20"/>
      </w:r>
      <w:r w:rsidRPr="00015CB4">
        <w:rPr>
          <w:sz w:val="24"/>
          <w:szCs w:val="24"/>
        </w:rPr>
        <w:t xml:space="preserve">  This case maximizes </w:t>
      </w:r>
      <w:r w:rsidR="00FF18F8">
        <w:rPr>
          <w:sz w:val="24"/>
          <w:szCs w:val="24"/>
        </w:rPr>
        <w:t>greenhouse gas (</w:t>
      </w:r>
      <w:r w:rsidRPr="00015CB4">
        <w:rPr>
          <w:sz w:val="24"/>
          <w:szCs w:val="24"/>
        </w:rPr>
        <w:t>GHG</w:t>
      </w:r>
      <w:r w:rsidR="00FF18F8">
        <w:rPr>
          <w:sz w:val="24"/>
          <w:szCs w:val="24"/>
        </w:rPr>
        <w:t xml:space="preserve">) </w:t>
      </w:r>
      <w:proofErr w:type="spellStart"/>
      <w:r w:rsidR="00FF18F8">
        <w:rPr>
          <w:sz w:val="24"/>
          <w:szCs w:val="24"/>
        </w:rPr>
        <w:t>emissons</w:t>
      </w:r>
      <w:proofErr w:type="spellEnd"/>
      <w:r w:rsidRPr="00015CB4">
        <w:rPr>
          <w:sz w:val="24"/>
          <w:szCs w:val="24"/>
        </w:rPr>
        <w:t xml:space="preserve"> reduction while mitigating load growth in place of excess procurement by pairing accelerated electrification from the high load case with the potential EE savings in the low load case.  The resulting net load </w:t>
      </w:r>
      <w:r w:rsidR="009118D4">
        <w:rPr>
          <w:sz w:val="24"/>
          <w:szCs w:val="24"/>
        </w:rPr>
        <w:t xml:space="preserve">under this case </w:t>
      </w:r>
      <w:r w:rsidRPr="00015CB4">
        <w:rPr>
          <w:sz w:val="24"/>
          <w:szCs w:val="24"/>
        </w:rPr>
        <w:t xml:space="preserve">is 227 </w:t>
      </w:r>
      <w:r w:rsidR="009118D4">
        <w:rPr>
          <w:sz w:val="24"/>
          <w:szCs w:val="24"/>
        </w:rPr>
        <w:t>G</w:t>
      </w:r>
      <w:r w:rsidRPr="00015CB4">
        <w:rPr>
          <w:sz w:val="24"/>
          <w:szCs w:val="24"/>
        </w:rPr>
        <w:t>Wh in 2040</w:t>
      </w:r>
      <w:r w:rsidR="009118D4">
        <w:rPr>
          <w:sz w:val="24"/>
          <w:szCs w:val="24"/>
        </w:rPr>
        <w:t xml:space="preserve"> compared to 247 GWh in the Mid load case</w:t>
      </w:r>
      <w:r w:rsidRPr="00015CB4">
        <w:rPr>
          <w:sz w:val="24"/>
          <w:szCs w:val="24"/>
        </w:rPr>
        <w:t>.</w:t>
      </w:r>
    </w:p>
    <w:p w14:paraId="37A1FE86" w14:textId="31AE87A9" w:rsidR="00DE157C" w:rsidRPr="00015CB4" w:rsidRDefault="00DE157C" w:rsidP="00DE157C">
      <w:pPr>
        <w:pStyle w:val="BodyText"/>
        <w:rPr>
          <w:color w:val="7030A0"/>
          <w:sz w:val="24"/>
          <w:szCs w:val="24"/>
        </w:rPr>
      </w:pPr>
      <w:r w:rsidRPr="00015CB4">
        <w:rPr>
          <w:sz w:val="24"/>
          <w:szCs w:val="24"/>
        </w:rPr>
        <w:t>Investing in traditional EE programs, such as lighting, will almost certainly yield low savings at higher costs.  This does not mean that the District should abandon EE.  The load forecast emphasizes the importance of planning for efficient electrification to manage load growth while aligning with California and Truckee's carbon goals.  The upshot is that the District should set new EE goals for targeted EE load reduction and add separate spending to support electrification so that electrification is efficient</w:t>
      </w:r>
      <w:r w:rsidRPr="00015CB4">
        <w:rPr>
          <w:color w:val="7030A0"/>
          <w:sz w:val="24"/>
          <w:szCs w:val="24"/>
        </w:rPr>
        <w:t>.</w:t>
      </w:r>
      <w:r w:rsidRPr="00015CB4">
        <w:rPr>
          <w:rStyle w:val="FootnoteReference"/>
          <w:color w:val="7030A0"/>
          <w:sz w:val="24"/>
          <w:szCs w:val="24"/>
        </w:rPr>
        <w:footnoteReference w:id="21"/>
      </w:r>
    </w:p>
    <w:p w14:paraId="5CAE3A96" w14:textId="1C4F2533" w:rsidR="00DE157C" w:rsidRDefault="00A25320" w:rsidP="00DE157C">
      <w:pPr>
        <w:pStyle w:val="Heading2"/>
      </w:pPr>
      <w:bookmarkStart w:id="10" w:name="_Toc153273286"/>
      <w:bookmarkStart w:id="11" w:name="_Toc153451643"/>
      <w:r>
        <w:t xml:space="preserve">Forecast </w:t>
      </w:r>
      <w:r w:rsidR="00DE157C" w:rsidRPr="002C0480">
        <w:t>Results</w:t>
      </w:r>
      <w:r w:rsidR="00DE157C">
        <w:t xml:space="preserve"> and IRP Inputs</w:t>
      </w:r>
      <w:bookmarkEnd w:id="10"/>
      <w:bookmarkEnd w:id="11"/>
    </w:p>
    <w:p w14:paraId="230A7984" w14:textId="3EE225E3" w:rsidR="00DE157C" w:rsidRPr="00015CB4" w:rsidRDefault="00DE157C" w:rsidP="00DE157C">
      <w:pPr>
        <w:pStyle w:val="BodyText"/>
        <w:rPr>
          <w:sz w:val="24"/>
          <w:szCs w:val="24"/>
        </w:rPr>
      </w:pPr>
      <w:r w:rsidRPr="00015CB4">
        <w:rPr>
          <w:sz w:val="24"/>
          <w:szCs w:val="24"/>
        </w:rPr>
        <w:t xml:space="preserve">Figure 6 provides the resulting load forecast scenarios.  Total annual load varies by 21-23 GWh between </w:t>
      </w:r>
      <w:r w:rsidR="00836120" w:rsidRPr="00015CB4">
        <w:rPr>
          <w:sz w:val="24"/>
          <w:szCs w:val="24"/>
        </w:rPr>
        <w:t xml:space="preserve">the low and high </w:t>
      </w:r>
      <w:r w:rsidRPr="00015CB4">
        <w:rPr>
          <w:sz w:val="24"/>
          <w:szCs w:val="24"/>
        </w:rPr>
        <w:t>load scenarios</w:t>
      </w:r>
      <w:r w:rsidR="00836120" w:rsidRPr="00015CB4">
        <w:rPr>
          <w:sz w:val="24"/>
          <w:szCs w:val="24"/>
        </w:rPr>
        <w:t xml:space="preserve">, with a variation in </w:t>
      </w:r>
      <w:r w:rsidRPr="00015CB4">
        <w:rPr>
          <w:sz w:val="24"/>
          <w:szCs w:val="24"/>
        </w:rPr>
        <w:t xml:space="preserve">the </w:t>
      </w:r>
      <w:r w:rsidR="00836120" w:rsidRPr="00015CB4">
        <w:rPr>
          <w:sz w:val="24"/>
          <w:szCs w:val="24"/>
        </w:rPr>
        <w:t xml:space="preserve">associated </w:t>
      </w:r>
      <w:r w:rsidRPr="00015CB4">
        <w:rPr>
          <w:sz w:val="24"/>
          <w:szCs w:val="24"/>
        </w:rPr>
        <w:t xml:space="preserve">peak load requirement </w:t>
      </w:r>
      <w:r w:rsidR="00836120" w:rsidRPr="00015CB4">
        <w:rPr>
          <w:sz w:val="24"/>
          <w:szCs w:val="24"/>
        </w:rPr>
        <w:t>of</w:t>
      </w:r>
      <w:r w:rsidRPr="00015CB4">
        <w:rPr>
          <w:sz w:val="24"/>
          <w:szCs w:val="24"/>
        </w:rPr>
        <w:t xml:space="preserve"> about 4 MW.  In the high load scenario, the District reaches a peak of 52 MW in December 2040.</w:t>
      </w:r>
      <w:r w:rsidR="00B52E15">
        <w:rPr>
          <w:sz w:val="24"/>
          <w:szCs w:val="24"/>
        </w:rPr>
        <w:t xml:space="preserve"> </w:t>
      </w:r>
      <w:r w:rsidRPr="00015CB4">
        <w:rPr>
          <w:sz w:val="24"/>
          <w:szCs w:val="24"/>
        </w:rPr>
        <w:t xml:space="preserve"> </w:t>
      </w:r>
      <w:r w:rsidR="00D65E9C">
        <w:rPr>
          <w:sz w:val="24"/>
          <w:szCs w:val="24"/>
        </w:rPr>
        <w:t>We understand that t</w:t>
      </w:r>
      <w:r w:rsidR="00D65E9C" w:rsidRPr="00D65E9C">
        <w:rPr>
          <w:sz w:val="24"/>
          <w:szCs w:val="24"/>
        </w:rPr>
        <w:t>hat the current transmission import capability of TDPUD is limited to 52MW</w:t>
      </w:r>
      <w:r w:rsidR="00D65E9C">
        <w:rPr>
          <w:sz w:val="24"/>
          <w:szCs w:val="24"/>
        </w:rPr>
        <w:t>.</w:t>
      </w:r>
      <w:r w:rsidR="00D65E9C" w:rsidRPr="00D65E9C">
        <w:rPr>
          <w:sz w:val="24"/>
          <w:szCs w:val="24"/>
        </w:rPr>
        <w:t xml:space="preserve"> </w:t>
      </w:r>
      <w:r w:rsidR="00B52E15">
        <w:rPr>
          <w:sz w:val="24"/>
          <w:szCs w:val="24"/>
        </w:rPr>
        <w:t xml:space="preserve"> </w:t>
      </w:r>
      <w:r w:rsidR="00D65E9C">
        <w:rPr>
          <w:sz w:val="24"/>
          <w:szCs w:val="24"/>
        </w:rPr>
        <w:t>Therefore, meeting</w:t>
      </w:r>
      <w:r w:rsidR="00D65E9C" w:rsidRPr="00D65E9C">
        <w:rPr>
          <w:sz w:val="24"/>
          <w:szCs w:val="24"/>
        </w:rPr>
        <w:t xml:space="preserve"> a peak load beyond 52MW </w:t>
      </w:r>
      <w:r w:rsidR="00D65E9C">
        <w:rPr>
          <w:sz w:val="24"/>
          <w:szCs w:val="24"/>
        </w:rPr>
        <w:t>c</w:t>
      </w:r>
      <w:r w:rsidR="00D65E9C" w:rsidRPr="00D65E9C">
        <w:rPr>
          <w:sz w:val="24"/>
          <w:szCs w:val="24"/>
        </w:rPr>
        <w:t>ould require the TDPUD could require transmission upgrades or increased reliance on local generation and/or storage</w:t>
      </w:r>
      <w:r w:rsidR="00D65E9C">
        <w:rPr>
          <w:sz w:val="24"/>
          <w:szCs w:val="24"/>
        </w:rPr>
        <w:t xml:space="preserve"> as described in the Resources section</w:t>
      </w:r>
      <w:r w:rsidR="00D65E9C" w:rsidRPr="00D65E9C">
        <w:rPr>
          <w:sz w:val="24"/>
          <w:szCs w:val="24"/>
        </w:rPr>
        <w:t>.</w:t>
      </w:r>
      <w:r w:rsidRPr="00015CB4">
        <w:rPr>
          <w:sz w:val="24"/>
          <w:szCs w:val="24"/>
        </w:rPr>
        <w:t xml:space="preserve"> </w:t>
      </w:r>
    </w:p>
    <w:p w14:paraId="63E47B71" w14:textId="25B4312F" w:rsidR="00DE157C" w:rsidRPr="002C0480" w:rsidRDefault="00DE157C" w:rsidP="00DE157C">
      <w:pPr>
        <w:pStyle w:val="BodyText"/>
        <w:keepNext/>
        <w:keepLines/>
        <w:rPr>
          <w:b/>
          <w:bCs/>
        </w:rPr>
      </w:pPr>
      <w:r w:rsidRPr="002C0480">
        <w:rPr>
          <w:b/>
          <w:bCs/>
        </w:rPr>
        <w:lastRenderedPageBreak/>
        <w:t xml:space="preserve">Figure </w:t>
      </w:r>
      <w:r>
        <w:rPr>
          <w:b/>
          <w:bCs/>
        </w:rPr>
        <w:t>6</w:t>
      </w:r>
      <w:r w:rsidRPr="002C0480">
        <w:rPr>
          <w:b/>
          <w:bCs/>
        </w:rPr>
        <w:t>: Load Forecast Scenario</w:t>
      </w:r>
      <w:r>
        <w:rPr>
          <w:b/>
          <w:bCs/>
        </w:rPr>
        <w:t>s</w:t>
      </w:r>
      <w:r w:rsidRPr="002C0480">
        <w:rPr>
          <w:b/>
          <w:bCs/>
        </w:rPr>
        <w:t xml:space="preserve"> </w:t>
      </w:r>
    </w:p>
    <w:p w14:paraId="4F608A9F" w14:textId="77777777" w:rsidR="00DE157C" w:rsidRPr="00B94A0D" w:rsidRDefault="00DE157C" w:rsidP="00DE157C">
      <w:pPr>
        <w:pStyle w:val="BodyText"/>
      </w:pPr>
      <w:r>
        <w:rPr>
          <w:noProof/>
        </w:rPr>
        <w:drawing>
          <wp:inline distT="0" distB="0" distL="0" distR="0" wp14:anchorId="28211CBB" wp14:editId="1957F632">
            <wp:extent cx="5943600" cy="3669257"/>
            <wp:effectExtent l="0" t="0" r="0" b="7620"/>
            <wp:docPr id="1364689853" name="Picture 1364689853" descr="A chart of a power suppl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689853" name="Picture 1364689853" descr="A chart of a power supply&#10;&#10;Description automatically generated with medium confidenc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3669257"/>
                    </a:xfrm>
                    <a:prstGeom prst="rect">
                      <a:avLst/>
                    </a:prstGeom>
                    <a:noFill/>
                  </pic:spPr>
                </pic:pic>
              </a:graphicData>
            </a:graphic>
          </wp:inline>
        </w:drawing>
      </w:r>
    </w:p>
    <w:p w14:paraId="2FEA32B2" w14:textId="2F777686" w:rsidR="00F20D1C" w:rsidRPr="00C274CD" w:rsidRDefault="0092655A" w:rsidP="000053DE">
      <w:pPr>
        <w:pStyle w:val="BodyText"/>
        <w:rPr>
          <w:color w:val="FFFFFF" w:themeColor="background1"/>
        </w:rPr>
      </w:pPr>
      <w:r w:rsidRPr="00015CB4">
        <w:rPr>
          <w:sz w:val="24"/>
          <w:szCs w:val="24"/>
        </w:rPr>
        <w:t xml:space="preserve">Appendix C contains additional scenarios that explore the impacts of </w:t>
      </w:r>
      <w:proofErr w:type="gramStart"/>
      <w:r w:rsidRPr="00015CB4">
        <w:rPr>
          <w:sz w:val="24"/>
          <w:szCs w:val="24"/>
        </w:rPr>
        <w:t>heavy duty</w:t>
      </w:r>
      <w:proofErr w:type="gramEnd"/>
      <w:r w:rsidRPr="00015CB4">
        <w:rPr>
          <w:sz w:val="24"/>
          <w:szCs w:val="24"/>
        </w:rPr>
        <w:t xml:space="preserve"> truck charging, 100% residential PEV charging, and the Efficient Electrification scenario.</w:t>
      </w:r>
      <w:r>
        <w:rPr>
          <w:sz w:val="24"/>
          <w:szCs w:val="24"/>
        </w:rPr>
        <w:t xml:space="preserve"> </w:t>
      </w:r>
      <w:bookmarkStart w:id="12" w:name="_Toc153273287"/>
      <w:r w:rsidR="00A55BDB">
        <w:rPr>
          <w:color w:val="FFFFFF" w:themeColor="background1"/>
        </w:rPr>
        <w:t>Resources</w:t>
      </w:r>
      <w:bookmarkEnd w:id="12"/>
      <w:r w:rsidR="00EC07C0">
        <w:rPr>
          <w:color w:val="FFFFFF" w:themeColor="background1"/>
        </w:rPr>
        <w:t xml:space="preserve"> </w:t>
      </w:r>
    </w:p>
    <w:p w14:paraId="10677FBE" w14:textId="3EBABFC2" w:rsidR="000053DE" w:rsidRPr="00805634" w:rsidRDefault="000053DE" w:rsidP="000053DE">
      <w:pPr>
        <w:pStyle w:val="Heading1"/>
        <w:shd w:val="clear" w:color="auto" w:fill="007033"/>
        <w:rPr>
          <w:color w:val="FFFFFF" w:themeColor="background1"/>
        </w:rPr>
      </w:pPr>
      <w:bookmarkStart w:id="13" w:name="_Toc153451644"/>
      <w:r>
        <w:rPr>
          <w:color w:val="FFFFFF" w:themeColor="background1"/>
        </w:rPr>
        <w:t>Resources</w:t>
      </w:r>
      <w:bookmarkEnd w:id="13"/>
    </w:p>
    <w:p w14:paraId="013EBB5C" w14:textId="519B7BA9" w:rsidR="00BC3BCC" w:rsidRPr="00E31E0D" w:rsidRDefault="00BC3BCC" w:rsidP="00B52E15">
      <w:pPr>
        <w:pStyle w:val="Heading2"/>
        <w:spacing w:before="240"/>
        <w:rPr>
          <w:b w:val="0"/>
        </w:rPr>
      </w:pPr>
      <w:bookmarkStart w:id="14" w:name="_Toc153451645"/>
      <w:r>
        <w:rPr>
          <w:bCs w:val="0"/>
          <w:sz w:val="24"/>
          <w:szCs w:val="24"/>
        </w:rPr>
        <w:t>Existing</w:t>
      </w:r>
      <w:r w:rsidRPr="00874A11">
        <w:rPr>
          <w:bCs w:val="0"/>
          <w:sz w:val="24"/>
          <w:szCs w:val="24"/>
        </w:rPr>
        <w:t xml:space="preserve"> </w:t>
      </w:r>
      <w:r w:rsidRPr="00E31E0D">
        <w:rPr>
          <w:sz w:val="24"/>
        </w:rPr>
        <w:t>Resources</w:t>
      </w:r>
      <w:bookmarkEnd w:id="14"/>
    </w:p>
    <w:p w14:paraId="6F1B35A9" w14:textId="3985E214" w:rsidR="00950C5E" w:rsidRDefault="00950C5E" w:rsidP="00B52E15">
      <w:pPr>
        <w:spacing w:before="180"/>
      </w:pPr>
      <w:r>
        <w:t xml:space="preserve">Table 1 provides a summary of the District’s existing and contracted power supply resources with the </w:t>
      </w:r>
      <w:r w:rsidR="00952DBC">
        <w:t xml:space="preserve">District’s </w:t>
      </w:r>
      <w:r>
        <w:t xml:space="preserve">approximate share of </w:t>
      </w:r>
      <w:r w:rsidR="00952DBC">
        <w:t>each resource’s</w:t>
      </w:r>
      <w:r>
        <w:t xml:space="preserve"> capacity in MWs.</w:t>
      </w:r>
      <w:r w:rsidR="005436C4">
        <w:t xml:space="preserve"> </w:t>
      </w:r>
      <w:r w:rsidR="00A25320">
        <w:t xml:space="preserve"> </w:t>
      </w:r>
      <w:r w:rsidR="005436C4">
        <w:t xml:space="preserve">The resources highlighted in green background are </w:t>
      </w:r>
      <w:r w:rsidR="005436C4" w:rsidRPr="005436C4">
        <w:t>Renewable Portfolio Standard (RPS)</w:t>
      </w:r>
      <w:r w:rsidR="005436C4">
        <w:t>-eligible,</w:t>
      </w:r>
      <w:r w:rsidR="005436C4">
        <w:rPr>
          <w:rStyle w:val="FootnoteReference"/>
        </w:rPr>
        <w:footnoteReference w:id="22"/>
      </w:r>
      <w:r w:rsidR="005436C4">
        <w:t xml:space="preserve"> whereas </w:t>
      </w:r>
      <w:r w:rsidR="004C0B6C">
        <w:t xml:space="preserve">those </w:t>
      </w:r>
      <w:r w:rsidR="005436C4">
        <w:t>highlighted in burgundy</w:t>
      </w:r>
      <w:r w:rsidR="0096664E">
        <w:t>, such as Nebo Natural Gas, 5-Year Market purchases</w:t>
      </w:r>
      <w:r w:rsidR="004C0B6C">
        <w:t>,</w:t>
      </w:r>
      <w:r w:rsidR="0096664E">
        <w:t xml:space="preserve"> and Spot Market </w:t>
      </w:r>
      <w:r w:rsidR="004C0B6C">
        <w:t>purchases</w:t>
      </w:r>
      <w:r w:rsidR="005436C4">
        <w:t xml:space="preserve"> are neither RPS-eligible nor Greenhouse Gas (GHG)-free resources. </w:t>
      </w:r>
      <w:r w:rsidR="00A25320">
        <w:t xml:space="preserve"> </w:t>
      </w:r>
      <w:r w:rsidR="005436C4">
        <w:t>The large hydro projects (&gt;25MW in size), such as the Central Valley Project</w:t>
      </w:r>
      <w:r w:rsidR="001E6F73">
        <w:t xml:space="preserve"> (CVP) and Veyo </w:t>
      </w:r>
      <w:r w:rsidR="00A427C4">
        <w:t>Waste Heat Recovery</w:t>
      </w:r>
      <w:r w:rsidR="005436C4">
        <w:t xml:space="preserve"> marked in blue in Table 1, are considered GHG-free but are not RPS-eligible.</w:t>
      </w:r>
      <w:r w:rsidR="002E1FE3">
        <w:t xml:space="preserve"> </w:t>
      </w:r>
    </w:p>
    <w:p w14:paraId="1375A11B" w14:textId="1B2315BE" w:rsidR="00950C5E" w:rsidRPr="00874A11" w:rsidRDefault="00950C5E" w:rsidP="000053DE">
      <w:pPr>
        <w:keepNext/>
        <w:spacing w:before="120"/>
        <w:jc w:val="center"/>
        <w:rPr>
          <w:b/>
          <w:bCs/>
        </w:rPr>
      </w:pPr>
      <w:r w:rsidRPr="00874A11">
        <w:rPr>
          <w:b/>
          <w:bCs/>
        </w:rPr>
        <w:lastRenderedPageBreak/>
        <w:t>Table 1</w:t>
      </w:r>
      <w:r w:rsidR="005436C4">
        <w:rPr>
          <w:b/>
          <w:bCs/>
        </w:rPr>
        <w:t>:</w:t>
      </w:r>
      <w:r w:rsidRPr="00874A11">
        <w:rPr>
          <w:b/>
          <w:bCs/>
        </w:rPr>
        <w:t xml:space="preserve"> Existing Power Supply Resources</w:t>
      </w:r>
    </w:p>
    <w:p w14:paraId="2CF014F9" w14:textId="63B4E5A7" w:rsidR="00950C5E" w:rsidRDefault="001E6F73" w:rsidP="00874A11">
      <w:pPr>
        <w:spacing w:before="240"/>
        <w:jc w:val="center"/>
      </w:pPr>
      <w:r w:rsidRPr="001E6F73">
        <w:rPr>
          <w:noProof/>
        </w:rPr>
        <w:drawing>
          <wp:inline distT="0" distB="0" distL="0" distR="0" wp14:anchorId="2DDB2357" wp14:editId="0A9378A2">
            <wp:extent cx="4868333" cy="3350099"/>
            <wp:effectExtent l="0" t="0" r="0" b="0"/>
            <wp:docPr id="163936816" name="Picture 163936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36816" name=""/>
                    <pic:cNvPicPr/>
                  </pic:nvPicPr>
                  <pic:blipFill>
                    <a:blip r:embed="rId33"/>
                    <a:stretch>
                      <a:fillRect/>
                    </a:stretch>
                  </pic:blipFill>
                  <pic:spPr>
                    <a:xfrm>
                      <a:off x="0" y="0"/>
                      <a:ext cx="4875593" cy="3355095"/>
                    </a:xfrm>
                    <a:prstGeom prst="rect">
                      <a:avLst/>
                    </a:prstGeom>
                  </pic:spPr>
                </pic:pic>
              </a:graphicData>
            </a:graphic>
          </wp:inline>
        </w:drawing>
      </w:r>
    </w:p>
    <w:p w14:paraId="3BA6D1CC" w14:textId="6B06B8B6" w:rsidR="00185F14" w:rsidRDefault="002E1FE3" w:rsidP="008717F0">
      <w:pPr>
        <w:spacing w:before="240"/>
      </w:pPr>
      <w:r w:rsidRPr="00874A11">
        <w:t xml:space="preserve">Trans-Jordan Landfill, gas, which is a base load resource </w:t>
      </w:r>
      <w:r>
        <w:t>that has been a key component of the TDPUD’s resource portfolio</w:t>
      </w:r>
      <w:r w:rsidR="004C0B6C">
        <w:t>,</w:t>
      </w:r>
      <w:r>
        <w:t xml:space="preserve"> </w:t>
      </w:r>
      <w:r w:rsidR="00952DBC">
        <w:t>currently serves</w:t>
      </w:r>
      <w:r w:rsidR="00952DBC" w:rsidRPr="001E6F73">
        <w:t xml:space="preserve"> </w:t>
      </w:r>
      <w:r w:rsidR="001E6F73" w:rsidRPr="001E6F73">
        <w:t xml:space="preserve">about </w:t>
      </w:r>
      <w:r w:rsidR="001E6F73">
        <w:t>16</w:t>
      </w:r>
      <w:r w:rsidR="001E6F73" w:rsidRPr="001E6F73">
        <w:t>% of the District’s annual energy requirements</w:t>
      </w:r>
      <w:r w:rsidR="00952DBC">
        <w:t xml:space="preserve">. </w:t>
      </w:r>
      <w:r w:rsidR="003367E3">
        <w:t>Its</w:t>
      </w:r>
      <w:r w:rsidR="00AA634D">
        <w:t xml:space="preserve"> contract</w:t>
      </w:r>
      <w:r w:rsidR="001E6F73">
        <w:t xml:space="preserve"> </w:t>
      </w:r>
      <w:r>
        <w:t>expire</w:t>
      </w:r>
      <w:r w:rsidR="00AA634D">
        <w:t>s</w:t>
      </w:r>
      <w:r>
        <w:t xml:space="preserve"> at the </w:t>
      </w:r>
      <w:proofErr w:type="gramStart"/>
      <w:r>
        <w:t>end of 2024</w:t>
      </w:r>
      <w:r w:rsidR="00AA634D">
        <w:t>, and</w:t>
      </w:r>
      <w:proofErr w:type="gramEnd"/>
      <w:r w:rsidR="00AA634D">
        <w:t xml:space="preserve"> is not expected to be renewed</w:t>
      </w:r>
      <w:r>
        <w:t xml:space="preserve">. </w:t>
      </w:r>
      <w:r w:rsidR="00A25320">
        <w:t xml:space="preserve"> </w:t>
      </w:r>
      <w:r>
        <w:t xml:space="preserve">Therefore, it is </w:t>
      </w:r>
      <w:r w:rsidR="00AA634D">
        <w:t xml:space="preserve">assumed </w:t>
      </w:r>
      <w:r>
        <w:t xml:space="preserve">not </w:t>
      </w:r>
      <w:r w:rsidR="003367E3">
        <w:t xml:space="preserve">to be </w:t>
      </w:r>
      <w:r>
        <w:t xml:space="preserve">available beginning </w:t>
      </w:r>
      <w:r w:rsidR="003367E3">
        <w:t xml:space="preserve">in </w:t>
      </w:r>
      <w:r>
        <w:t xml:space="preserve">2025. </w:t>
      </w:r>
      <w:r w:rsidR="00AA634D">
        <w:t xml:space="preserve">In </w:t>
      </w:r>
      <w:proofErr w:type="gramStart"/>
      <w:r w:rsidR="00AA634D">
        <w:t>contrast</w:t>
      </w:r>
      <w:r>
        <w:t xml:space="preserve">,  </w:t>
      </w:r>
      <w:r w:rsidR="00AA634D">
        <w:t>the</w:t>
      </w:r>
      <w:proofErr w:type="gramEnd"/>
      <w:r>
        <w:t xml:space="preserve"> 26 Foot Drop and Old Lahontan </w:t>
      </w:r>
      <w:r w:rsidR="00AA634D">
        <w:t xml:space="preserve">contracted resources </w:t>
      </w:r>
      <w:r>
        <w:t xml:space="preserve">that expire in 2023 and </w:t>
      </w:r>
      <w:r w:rsidR="00AA634D">
        <w:t xml:space="preserve">the </w:t>
      </w:r>
      <w:r>
        <w:t xml:space="preserve">Stampede </w:t>
      </w:r>
      <w:r w:rsidR="00AA634D">
        <w:t xml:space="preserve">resource contract that expires </w:t>
      </w:r>
      <w:r>
        <w:t xml:space="preserve">in 2024, are assumed to be renewed through the </w:t>
      </w:r>
      <w:r w:rsidR="00AA634D">
        <w:t xml:space="preserve">duration of the </w:t>
      </w:r>
      <w:r>
        <w:t xml:space="preserve">planning period of 2024-2040. </w:t>
      </w:r>
      <w:r w:rsidR="00A25320">
        <w:t xml:space="preserve"> </w:t>
      </w:r>
      <w:r>
        <w:t>The Central Valley</w:t>
      </w:r>
      <w:r w:rsidR="00AA634D">
        <w:t xml:space="preserve"> Base Resource</w:t>
      </w:r>
      <w:r>
        <w:t xml:space="preserve"> hydro project is assumed to be available beginning </w:t>
      </w:r>
      <w:r w:rsidR="003367E3">
        <w:t xml:space="preserve">in </w:t>
      </w:r>
      <w:r>
        <w:t>2025.</w:t>
      </w:r>
      <w:r w:rsidR="0017506E">
        <w:t xml:space="preserve"> </w:t>
      </w:r>
    </w:p>
    <w:p w14:paraId="6BF9643D" w14:textId="77777777" w:rsidR="001E6F73" w:rsidRDefault="001E6F73" w:rsidP="001E6F73">
      <w:pPr>
        <w:rPr>
          <w:b/>
          <w:bCs/>
          <w:sz w:val="23"/>
          <w:szCs w:val="23"/>
        </w:rPr>
      </w:pPr>
    </w:p>
    <w:p w14:paraId="52152B5D" w14:textId="34B69595" w:rsidR="001E6F73" w:rsidRDefault="001E6F73" w:rsidP="001E6F73">
      <w:pPr>
        <w:rPr>
          <w:sz w:val="23"/>
          <w:szCs w:val="23"/>
        </w:rPr>
      </w:pPr>
      <w:r>
        <w:rPr>
          <w:b/>
          <w:bCs/>
          <w:sz w:val="23"/>
          <w:szCs w:val="23"/>
        </w:rPr>
        <w:t xml:space="preserve">Nebo Power Station </w:t>
      </w:r>
      <w:r>
        <w:rPr>
          <w:sz w:val="23"/>
          <w:szCs w:val="23"/>
        </w:rPr>
        <w:t>- The Utah Associated Municipal Power Systems</w:t>
      </w:r>
      <w:r w:rsidR="00AA634D">
        <w:rPr>
          <w:sz w:val="23"/>
          <w:szCs w:val="23"/>
        </w:rPr>
        <w:t>’</w:t>
      </w:r>
      <w:r>
        <w:rPr>
          <w:sz w:val="23"/>
          <w:szCs w:val="23"/>
        </w:rPr>
        <w:t xml:space="preserve"> (UAMPS) Nebo Power Station (Nebo), a natural gas-fired generation facility located in the central Utah city of Payson, has a maximum capacity of 146 MW. </w:t>
      </w:r>
      <w:r w:rsidR="00A25320">
        <w:rPr>
          <w:sz w:val="23"/>
          <w:szCs w:val="23"/>
        </w:rPr>
        <w:t xml:space="preserve"> </w:t>
      </w:r>
      <w:r>
        <w:rPr>
          <w:sz w:val="23"/>
          <w:szCs w:val="23"/>
        </w:rPr>
        <w:t xml:space="preserve">The District’s agreement with UAMPS for a 5MW share of electricity typically supplies about 10% of the District’s total annual energy </w:t>
      </w:r>
      <w:proofErr w:type="gramStart"/>
      <w:r>
        <w:rPr>
          <w:sz w:val="23"/>
          <w:szCs w:val="23"/>
        </w:rPr>
        <w:t>needs</w:t>
      </w:r>
      <w:r w:rsidR="00A25320">
        <w:rPr>
          <w:sz w:val="23"/>
          <w:szCs w:val="23"/>
        </w:rPr>
        <w:t xml:space="preserve"> </w:t>
      </w:r>
      <w:r>
        <w:rPr>
          <w:sz w:val="23"/>
          <w:szCs w:val="23"/>
        </w:rPr>
        <w:t>.</w:t>
      </w:r>
      <w:proofErr w:type="gramEnd"/>
      <w:r>
        <w:rPr>
          <w:sz w:val="23"/>
          <w:szCs w:val="23"/>
        </w:rPr>
        <w:t xml:space="preserve"> Nebo is taken </w:t>
      </w:r>
      <w:r w:rsidR="003367E3">
        <w:rPr>
          <w:sz w:val="23"/>
          <w:szCs w:val="23"/>
        </w:rPr>
        <w:t>offline</w:t>
      </w:r>
      <w:r>
        <w:rPr>
          <w:sz w:val="23"/>
          <w:szCs w:val="23"/>
        </w:rPr>
        <w:t xml:space="preserve"> twice a year in April and October for a 3 to 4-week period to perform preventive maintenance operations and minor repairs. In the IRP model, Nebo is assumed to be dispatched to meet the hourly District net loads </w:t>
      </w:r>
      <w:r w:rsidR="00041602">
        <w:rPr>
          <w:sz w:val="23"/>
          <w:szCs w:val="23"/>
        </w:rPr>
        <w:t xml:space="preserve">beyond the amounts </w:t>
      </w:r>
      <w:r>
        <w:rPr>
          <w:sz w:val="23"/>
          <w:szCs w:val="23"/>
        </w:rPr>
        <w:t xml:space="preserve">served using the existing and future </w:t>
      </w:r>
      <w:r w:rsidR="00041602">
        <w:rPr>
          <w:sz w:val="23"/>
          <w:szCs w:val="23"/>
        </w:rPr>
        <w:t xml:space="preserve">potentially contracted </w:t>
      </w:r>
      <w:r>
        <w:rPr>
          <w:sz w:val="23"/>
          <w:szCs w:val="23"/>
        </w:rPr>
        <w:t xml:space="preserve">resources. </w:t>
      </w:r>
    </w:p>
    <w:p w14:paraId="112D657B" w14:textId="77777777" w:rsidR="001E6F73" w:rsidRDefault="001E6F73" w:rsidP="001E6F73">
      <w:pPr>
        <w:rPr>
          <w:b/>
          <w:bCs/>
          <w:sz w:val="23"/>
          <w:szCs w:val="23"/>
        </w:rPr>
      </w:pPr>
    </w:p>
    <w:p w14:paraId="159AD93B" w14:textId="05E1815D" w:rsidR="001E6F73" w:rsidRDefault="001E6F73" w:rsidP="001E6F73">
      <w:pPr>
        <w:rPr>
          <w:sz w:val="23"/>
          <w:szCs w:val="23"/>
        </w:rPr>
      </w:pPr>
      <w:r>
        <w:rPr>
          <w:b/>
          <w:bCs/>
          <w:sz w:val="23"/>
          <w:szCs w:val="23"/>
        </w:rPr>
        <w:t xml:space="preserve">Red Mesa Solar Project </w:t>
      </w:r>
      <w:r>
        <w:rPr>
          <w:sz w:val="23"/>
          <w:szCs w:val="23"/>
        </w:rPr>
        <w:t>- The District has a 6 MW share of the Red Mesa Project, which equates to about 10 percent of the District's total annual energy requirements.</w:t>
      </w:r>
      <w:r w:rsidR="00A25320">
        <w:rPr>
          <w:sz w:val="23"/>
          <w:szCs w:val="23"/>
        </w:rPr>
        <w:t xml:space="preserve"> </w:t>
      </w:r>
      <w:r>
        <w:rPr>
          <w:sz w:val="23"/>
          <w:szCs w:val="23"/>
        </w:rPr>
        <w:t xml:space="preserve"> In September 2019, the Board adopted Resolution 2019-20 authorizing the Red Mesa Tapaha Solar Project with UAMPS. The Red Mesa Project is owned and operated by the Navajo Tribal Utility Authority (NTUA). </w:t>
      </w:r>
      <w:r w:rsidRPr="006C2F62">
        <w:rPr>
          <w:sz w:val="23"/>
          <w:szCs w:val="23"/>
        </w:rPr>
        <w:t xml:space="preserve">In September 2022, the Board adopted Resolution 2022-17 authorizing the amended agreement for the Red Mesa </w:t>
      </w:r>
      <w:r w:rsidRPr="006C2F62">
        <w:rPr>
          <w:sz w:val="23"/>
          <w:szCs w:val="23"/>
        </w:rPr>
        <w:lastRenderedPageBreak/>
        <w:t>Tapaha Solar Project with UAMPS with amended pricing</w:t>
      </w:r>
      <w:r w:rsidR="00C378E6">
        <w:rPr>
          <w:sz w:val="23"/>
          <w:szCs w:val="23"/>
        </w:rPr>
        <w:t xml:space="preserve">. </w:t>
      </w:r>
      <w:r w:rsidR="00A25320">
        <w:rPr>
          <w:sz w:val="23"/>
          <w:szCs w:val="23"/>
        </w:rPr>
        <w:t xml:space="preserve"> </w:t>
      </w:r>
      <w:r w:rsidR="00C378E6">
        <w:rPr>
          <w:sz w:val="23"/>
          <w:szCs w:val="23"/>
        </w:rPr>
        <w:t xml:space="preserve">The project began commercial operations on </w:t>
      </w:r>
      <w:r w:rsidR="00F4615E">
        <w:rPr>
          <w:sz w:val="23"/>
          <w:szCs w:val="23"/>
        </w:rPr>
        <w:t>March 15</w:t>
      </w:r>
      <w:r w:rsidR="00C378E6">
        <w:rPr>
          <w:sz w:val="23"/>
          <w:szCs w:val="23"/>
        </w:rPr>
        <w:t>, 2023</w:t>
      </w:r>
      <w:r w:rsidRPr="006C2F62">
        <w:rPr>
          <w:sz w:val="23"/>
          <w:szCs w:val="23"/>
        </w:rPr>
        <w:t xml:space="preserve">. </w:t>
      </w:r>
    </w:p>
    <w:p w14:paraId="708C7317" w14:textId="77777777" w:rsidR="001E6F73" w:rsidRDefault="001E6F73" w:rsidP="001E6F73">
      <w:pPr>
        <w:rPr>
          <w:b/>
          <w:bCs/>
          <w:sz w:val="23"/>
          <w:szCs w:val="23"/>
        </w:rPr>
      </w:pPr>
    </w:p>
    <w:p w14:paraId="57281E35" w14:textId="3E7E3BD4" w:rsidR="001E6F73" w:rsidRDefault="001E6F73" w:rsidP="001E6F73">
      <w:pPr>
        <w:rPr>
          <w:sz w:val="23"/>
          <w:szCs w:val="23"/>
        </w:rPr>
      </w:pPr>
      <w:r w:rsidRPr="00874A11">
        <w:rPr>
          <w:b/>
          <w:bCs/>
          <w:sz w:val="23"/>
          <w:szCs w:val="23"/>
        </w:rPr>
        <w:t>5-Year Market Energy Purchase -</w:t>
      </w:r>
      <w:r w:rsidRPr="00874A11">
        <w:rPr>
          <w:sz w:val="23"/>
          <w:szCs w:val="23"/>
        </w:rPr>
        <w:t xml:space="preserve">The District has an existing </w:t>
      </w:r>
      <w:r>
        <w:rPr>
          <w:sz w:val="23"/>
          <w:szCs w:val="23"/>
        </w:rPr>
        <w:t>5-year</w:t>
      </w:r>
      <w:r w:rsidRPr="00874A11">
        <w:rPr>
          <w:sz w:val="23"/>
          <w:szCs w:val="23"/>
        </w:rPr>
        <w:t xml:space="preserve"> market power purchase contract with UAMPS </w:t>
      </w:r>
      <w:r w:rsidR="00A9482B">
        <w:rPr>
          <w:sz w:val="23"/>
          <w:szCs w:val="23"/>
        </w:rPr>
        <w:t xml:space="preserve">for 3-4 MW of power during December through March </w:t>
      </w:r>
      <w:r w:rsidRPr="00874A11">
        <w:rPr>
          <w:sz w:val="23"/>
          <w:szCs w:val="23"/>
        </w:rPr>
        <w:t>that began on April 1, 2022</w:t>
      </w:r>
      <w:r>
        <w:rPr>
          <w:sz w:val="23"/>
          <w:szCs w:val="23"/>
        </w:rPr>
        <w:t>,</w:t>
      </w:r>
      <w:r w:rsidRPr="00874A11">
        <w:rPr>
          <w:sz w:val="23"/>
          <w:szCs w:val="23"/>
        </w:rPr>
        <w:t xml:space="preserve"> and ends </w:t>
      </w:r>
      <w:r>
        <w:rPr>
          <w:sz w:val="23"/>
          <w:szCs w:val="23"/>
        </w:rPr>
        <w:t xml:space="preserve">on </w:t>
      </w:r>
      <w:r w:rsidRPr="00874A11">
        <w:rPr>
          <w:sz w:val="23"/>
          <w:szCs w:val="23"/>
        </w:rPr>
        <w:t xml:space="preserve">March 31, 2027. </w:t>
      </w:r>
      <w:r w:rsidR="00A25320">
        <w:rPr>
          <w:sz w:val="23"/>
          <w:szCs w:val="23"/>
        </w:rPr>
        <w:t xml:space="preserve"> </w:t>
      </w:r>
      <w:r w:rsidRPr="00874A11">
        <w:rPr>
          <w:sz w:val="23"/>
          <w:szCs w:val="23"/>
        </w:rPr>
        <w:t xml:space="preserve">The existing 5-year market power purchase represents about 20% of the District’s annual energy requirements. The market power purchase is shaped and scheduled to the District’s load profile, filling the energy ‘gaps’ in </w:t>
      </w:r>
      <w:r w:rsidR="00041602">
        <w:rPr>
          <w:sz w:val="23"/>
          <w:szCs w:val="23"/>
        </w:rPr>
        <w:t>the District’s</w:t>
      </w:r>
      <w:r w:rsidR="00041602" w:rsidRPr="00874A11">
        <w:rPr>
          <w:sz w:val="23"/>
          <w:szCs w:val="23"/>
        </w:rPr>
        <w:t xml:space="preserve"> </w:t>
      </w:r>
      <w:r w:rsidRPr="00874A11">
        <w:rPr>
          <w:sz w:val="23"/>
          <w:szCs w:val="23"/>
        </w:rPr>
        <w:t>purchase power portfolio that are otherwise not supplied by other generation sources.</w:t>
      </w:r>
      <w:r>
        <w:rPr>
          <w:sz w:val="23"/>
          <w:szCs w:val="23"/>
        </w:rPr>
        <w:t xml:space="preserve"> </w:t>
      </w:r>
      <w:r w:rsidR="00A25320">
        <w:rPr>
          <w:sz w:val="23"/>
          <w:szCs w:val="23"/>
        </w:rPr>
        <w:t xml:space="preserve"> </w:t>
      </w:r>
      <w:r>
        <w:rPr>
          <w:sz w:val="23"/>
          <w:szCs w:val="23"/>
        </w:rPr>
        <w:t xml:space="preserve">The IRP model allows for a similar product to be available beginning April 2027. </w:t>
      </w:r>
    </w:p>
    <w:p w14:paraId="391BC3FA" w14:textId="77777777" w:rsidR="001E6F73" w:rsidRDefault="001E6F73" w:rsidP="001E6F73">
      <w:pPr>
        <w:rPr>
          <w:b/>
          <w:bCs/>
          <w:sz w:val="23"/>
          <w:szCs w:val="23"/>
        </w:rPr>
      </w:pPr>
    </w:p>
    <w:p w14:paraId="793A16CC" w14:textId="269505A0" w:rsidR="001E6F73" w:rsidRPr="00874A11" w:rsidRDefault="001E6F73" w:rsidP="001E6F73">
      <w:pPr>
        <w:rPr>
          <w:sz w:val="23"/>
          <w:szCs w:val="23"/>
        </w:rPr>
      </w:pPr>
      <w:r w:rsidRPr="00874A11">
        <w:rPr>
          <w:b/>
          <w:bCs/>
          <w:sz w:val="23"/>
          <w:szCs w:val="23"/>
        </w:rPr>
        <w:t>Spot Market Purchases/Sales</w:t>
      </w:r>
      <w:r w:rsidRPr="00874A11">
        <w:rPr>
          <w:sz w:val="23"/>
          <w:szCs w:val="23"/>
        </w:rPr>
        <w:t xml:space="preserve"> </w:t>
      </w:r>
      <w:r>
        <w:rPr>
          <w:sz w:val="23"/>
          <w:szCs w:val="23"/>
        </w:rPr>
        <w:t xml:space="preserve">- The market price for energy rises or falls, primarily as the cost of natural gas changes. </w:t>
      </w:r>
      <w:r w:rsidR="00A25320">
        <w:rPr>
          <w:sz w:val="23"/>
          <w:szCs w:val="23"/>
        </w:rPr>
        <w:t xml:space="preserve"> </w:t>
      </w:r>
      <w:r>
        <w:rPr>
          <w:sz w:val="23"/>
          <w:szCs w:val="23"/>
        </w:rPr>
        <w:t xml:space="preserve">This is due to natural gas </w:t>
      </w:r>
      <w:r w:rsidR="00041602">
        <w:rPr>
          <w:sz w:val="23"/>
          <w:szCs w:val="23"/>
        </w:rPr>
        <w:t>typically being</w:t>
      </w:r>
      <w:r>
        <w:rPr>
          <w:sz w:val="23"/>
          <w:szCs w:val="23"/>
        </w:rPr>
        <w:t xml:space="preserve"> the marginal fuel for electricity generation; therefore, natural gas power plants typically establish the market-clearing price of energy generation. </w:t>
      </w:r>
      <w:r w:rsidR="00A25320">
        <w:rPr>
          <w:sz w:val="23"/>
          <w:szCs w:val="23"/>
        </w:rPr>
        <w:t xml:space="preserve"> </w:t>
      </w:r>
      <w:proofErr w:type="gramStart"/>
      <w:r w:rsidRPr="006C2F62">
        <w:rPr>
          <w:sz w:val="23"/>
          <w:szCs w:val="23"/>
        </w:rPr>
        <w:t>As a consequence of</w:t>
      </w:r>
      <w:proofErr w:type="gramEnd"/>
      <w:r w:rsidRPr="006C2F62">
        <w:rPr>
          <w:sz w:val="23"/>
          <w:szCs w:val="23"/>
        </w:rPr>
        <w:t xml:space="preserve"> increased natural gas prices and heavy demand for energy during the hot summer months and cold winters, market energy prices have been ranging between $100</w:t>
      </w:r>
      <w:r>
        <w:rPr>
          <w:sz w:val="23"/>
          <w:szCs w:val="23"/>
        </w:rPr>
        <w:t>/</w:t>
      </w:r>
      <w:r w:rsidRPr="006C2F62">
        <w:rPr>
          <w:sz w:val="23"/>
          <w:szCs w:val="23"/>
        </w:rPr>
        <w:t>MWh to $200</w:t>
      </w:r>
      <w:r>
        <w:rPr>
          <w:sz w:val="23"/>
          <w:szCs w:val="23"/>
        </w:rPr>
        <w:t>/</w:t>
      </w:r>
      <w:r w:rsidRPr="006C2F62">
        <w:rPr>
          <w:sz w:val="23"/>
          <w:szCs w:val="23"/>
        </w:rPr>
        <w:t xml:space="preserve">MWh for the months of July through September </w:t>
      </w:r>
      <w:r>
        <w:rPr>
          <w:sz w:val="23"/>
          <w:szCs w:val="23"/>
        </w:rPr>
        <w:t xml:space="preserve">in Fiscal Year (FY) 2022 </w:t>
      </w:r>
      <w:r w:rsidRPr="006C2F62">
        <w:rPr>
          <w:sz w:val="23"/>
          <w:szCs w:val="23"/>
        </w:rPr>
        <w:t>and $200</w:t>
      </w:r>
      <w:r>
        <w:rPr>
          <w:sz w:val="23"/>
          <w:szCs w:val="23"/>
        </w:rPr>
        <w:t>/</w:t>
      </w:r>
      <w:r w:rsidRPr="006C2F62">
        <w:rPr>
          <w:sz w:val="23"/>
          <w:szCs w:val="23"/>
        </w:rPr>
        <w:t>MWh to $250</w:t>
      </w:r>
      <w:r>
        <w:rPr>
          <w:sz w:val="23"/>
          <w:szCs w:val="23"/>
        </w:rPr>
        <w:t>/</w:t>
      </w:r>
      <w:r w:rsidRPr="006C2F62">
        <w:rPr>
          <w:sz w:val="23"/>
          <w:szCs w:val="23"/>
        </w:rPr>
        <w:t>MWh for November and December</w:t>
      </w:r>
      <w:r>
        <w:rPr>
          <w:sz w:val="23"/>
          <w:szCs w:val="23"/>
        </w:rPr>
        <w:t xml:space="preserve"> in FY 2022</w:t>
      </w:r>
      <w:r w:rsidRPr="006C2F62">
        <w:rPr>
          <w:sz w:val="23"/>
          <w:szCs w:val="23"/>
        </w:rPr>
        <w:t xml:space="preserve">. </w:t>
      </w:r>
      <w:r w:rsidR="00A25320">
        <w:rPr>
          <w:sz w:val="23"/>
          <w:szCs w:val="23"/>
        </w:rPr>
        <w:t xml:space="preserve"> </w:t>
      </w:r>
      <w:r w:rsidRPr="006C2F62">
        <w:rPr>
          <w:sz w:val="23"/>
          <w:szCs w:val="23"/>
        </w:rPr>
        <w:t>The District's market energy purchases averaged $95.87 per MWh in FY</w:t>
      </w:r>
      <w:r>
        <w:rPr>
          <w:sz w:val="23"/>
          <w:szCs w:val="23"/>
        </w:rPr>
        <w:t xml:space="preserve"> 20</w:t>
      </w:r>
      <w:r w:rsidRPr="006C2F62">
        <w:rPr>
          <w:sz w:val="23"/>
          <w:szCs w:val="23"/>
        </w:rPr>
        <w:t>22, compared to $64.60 per MWh in FY21, and $40.10 per MWh in FY20.</w:t>
      </w:r>
      <w:r>
        <w:rPr>
          <w:sz w:val="23"/>
          <w:szCs w:val="23"/>
        </w:rPr>
        <w:t xml:space="preserve"> </w:t>
      </w:r>
    </w:p>
    <w:p w14:paraId="01A7C6C3" w14:textId="45DABDA1" w:rsidR="008717F0" w:rsidRPr="00874A11" w:rsidRDefault="008717F0" w:rsidP="00874A11">
      <w:pPr>
        <w:pStyle w:val="Heading2"/>
        <w:rPr>
          <w:b w:val="0"/>
          <w:bCs w:val="0"/>
          <w:sz w:val="24"/>
          <w:szCs w:val="24"/>
        </w:rPr>
      </w:pPr>
      <w:bookmarkStart w:id="15" w:name="_Toc153273289"/>
      <w:bookmarkStart w:id="16" w:name="_Toc153451646"/>
      <w:r w:rsidRPr="00874A11">
        <w:rPr>
          <w:bCs w:val="0"/>
          <w:sz w:val="24"/>
          <w:szCs w:val="24"/>
        </w:rPr>
        <w:t>Future Resources</w:t>
      </w:r>
      <w:bookmarkEnd w:id="15"/>
      <w:bookmarkEnd w:id="16"/>
    </w:p>
    <w:p w14:paraId="58E41E2E" w14:textId="784058CA" w:rsidR="002E1FE3" w:rsidRDefault="002E1FE3" w:rsidP="003A3A04">
      <w:r>
        <w:t xml:space="preserve">Table 2 provides a summary of the District’s future candidate supply resources with the approximate share of the </w:t>
      </w:r>
      <w:r w:rsidR="003C6389">
        <w:t xml:space="preserve">resource’s </w:t>
      </w:r>
      <w:r>
        <w:t xml:space="preserve">capacity </w:t>
      </w:r>
      <w:r w:rsidR="003C6389">
        <w:t xml:space="preserve">expected to be available to the District, </w:t>
      </w:r>
      <w:r>
        <w:t>in MWs.</w:t>
      </w:r>
      <w:r w:rsidR="00215A26">
        <w:t xml:space="preserve"> </w:t>
      </w:r>
      <w:r w:rsidR="00A25320">
        <w:t xml:space="preserve"> </w:t>
      </w:r>
      <w:r w:rsidR="002D58BB">
        <w:t>We have applied the same convention that we applied to Table 1 in terms of resources having RPS and GHG-free attributes.</w:t>
      </w:r>
      <w:r w:rsidR="00A25320">
        <w:t xml:space="preserve"> </w:t>
      </w:r>
      <w:r w:rsidR="00A427C4">
        <w:t xml:space="preserve"> The </w:t>
      </w:r>
      <w:r w:rsidR="003C6389">
        <w:t xml:space="preserve">energy associated with </w:t>
      </w:r>
      <w:r w:rsidR="00A427C4">
        <w:t xml:space="preserve">battery storage </w:t>
      </w:r>
      <w:r w:rsidR="003C6389">
        <w:t>charging</w:t>
      </w:r>
      <w:r w:rsidR="00A427C4">
        <w:t xml:space="preserve"> is </w:t>
      </w:r>
      <w:r w:rsidR="003C6389">
        <w:t xml:space="preserve">assumed to be </w:t>
      </w:r>
      <w:r w:rsidR="00A427C4">
        <w:t xml:space="preserve">GHG-free, but </w:t>
      </w:r>
      <w:r w:rsidR="003C6389">
        <w:t>the discharging energy is</w:t>
      </w:r>
      <w:r w:rsidR="00A427C4">
        <w:t xml:space="preserve"> not RPS-eligible.</w:t>
      </w:r>
    </w:p>
    <w:p w14:paraId="0C030211" w14:textId="77777777" w:rsidR="00F4615E" w:rsidRDefault="00F4615E">
      <w:pPr>
        <w:spacing w:after="200" w:line="276" w:lineRule="auto"/>
        <w:rPr>
          <w:b/>
          <w:bCs/>
        </w:rPr>
      </w:pPr>
      <w:r>
        <w:rPr>
          <w:b/>
          <w:bCs/>
        </w:rPr>
        <w:br w:type="page"/>
      </w:r>
    </w:p>
    <w:p w14:paraId="2763BBF4" w14:textId="58D55AA3" w:rsidR="0093340A" w:rsidRPr="00C855C7" w:rsidRDefault="0093340A" w:rsidP="00874A11">
      <w:pPr>
        <w:jc w:val="center"/>
        <w:rPr>
          <w:b/>
          <w:bCs/>
        </w:rPr>
      </w:pPr>
      <w:r w:rsidRPr="00C855C7">
        <w:rPr>
          <w:b/>
          <w:bCs/>
        </w:rPr>
        <w:lastRenderedPageBreak/>
        <w:t xml:space="preserve">Table </w:t>
      </w:r>
      <w:r>
        <w:rPr>
          <w:b/>
          <w:bCs/>
        </w:rPr>
        <w:t>2:</w:t>
      </w:r>
      <w:r w:rsidRPr="00C855C7">
        <w:rPr>
          <w:b/>
          <w:bCs/>
        </w:rPr>
        <w:t xml:space="preserve"> </w:t>
      </w:r>
      <w:r>
        <w:rPr>
          <w:b/>
          <w:bCs/>
        </w:rPr>
        <w:t>Future</w:t>
      </w:r>
      <w:r w:rsidRPr="00C855C7">
        <w:rPr>
          <w:b/>
          <w:bCs/>
        </w:rPr>
        <w:t xml:space="preserve"> Power Supply </w:t>
      </w:r>
      <w:r>
        <w:rPr>
          <w:b/>
          <w:bCs/>
        </w:rPr>
        <w:t xml:space="preserve">Candidate </w:t>
      </w:r>
      <w:r w:rsidRPr="00C855C7">
        <w:rPr>
          <w:b/>
          <w:bCs/>
        </w:rPr>
        <w:t>Resources</w:t>
      </w:r>
    </w:p>
    <w:p w14:paraId="0B51C946" w14:textId="413E3316" w:rsidR="000B4502" w:rsidRDefault="0017506E" w:rsidP="00874A11">
      <w:pPr>
        <w:spacing w:before="240"/>
        <w:jc w:val="center"/>
      </w:pPr>
      <w:r w:rsidRPr="0017506E">
        <w:rPr>
          <w:noProof/>
        </w:rPr>
        <w:drawing>
          <wp:inline distT="0" distB="0" distL="0" distR="0" wp14:anchorId="0A3AB3CE" wp14:editId="78E4E25F">
            <wp:extent cx="4629150" cy="3323987"/>
            <wp:effectExtent l="0" t="0" r="0" b="3810"/>
            <wp:docPr id="2083776285" name="Picture 2083776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776285" name=""/>
                    <pic:cNvPicPr/>
                  </pic:nvPicPr>
                  <pic:blipFill>
                    <a:blip r:embed="rId34"/>
                    <a:stretch>
                      <a:fillRect/>
                    </a:stretch>
                  </pic:blipFill>
                  <pic:spPr>
                    <a:xfrm>
                      <a:off x="0" y="0"/>
                      <a:ext cx="4631725" cy="3325836"/>
                    </a:xfrm>
                    <a:prstGeom prst="rect">
                      <a:avLst/>
                    </a:prstGeom>
                  </pic:spPr>
                </pic:pic>
              </a:graphicData>
            </a:graphic>
          </wp:inline>
        </w:drawing>
      </w:r>
    </w:p>
    <w:p w14:paraId="55F4172C" w14:textId="79A0CBBC" w:rsidR="002D58BB" w:rsidRPr="00874A11" w:rsidRDefault="002C3A5C" w:rsidP="006C17E6">
      <w:pPr>
        <w:spacing w:before="240"/>
        <w:rPr>
          <w:b/>
          <w:bCs/>
          <w:u w:val="single"/>
        </w:rPr>
      </w:pPr>
      <w:r w:rsidRPr="00874A11">
        <w:t xml:space="preserve">The </w:t>
      </w:r>
      <w:r>
        <w:t xml:space="preserve">Horse Butte Wind Phase II and New </w:t>
      </w:r>
      <w:proofErr w:type="spellStart"/>
      <w:r>
        <w:t>Lahanton</w:t>
      </w:r>
      <w:proofErr w:type="spellEnd"/>
      <w:r>
        <w:t xml:space="preserve"> hydroelectric </w:t>
      </w:r>
      <w:r w:rsidR="003C6389">
        <w:t xml:space="preserve">resources </w:t>
      </w:r>
      <w:r>
        <w:t xml:space="preserve">are assumed to have the same characteristics and costs as the existing Horse Butte Wind and Old </w:t>
      </w:r>
      <w:proofErr w:type="spellStart"/>
      <w:r>
        <w:t>Lahanton</w:t>
      </w:r>
      <w:proofErr w:type="spellEnd"/>
      <w:r>
        <w:t xml:space="preserve"> hydroelectric projects. </w:t>
      </w:r>
      <w:r w:rsidR="00A25320">
        <w:t xml:space="preserve"> </w:t>
      </w:r>
      <w:r w:rsidR="003C6389">
        <w:t xml:space="preserve">The costs for the other candidate resources were based on publicly available information about similar projects. </w:t>
      </w:r>
      <w:r w:rsidR="00A25320">
        <w:t xml:space="preserve"> </w:t>
      </w:r>
      <w:r w:rsidR="002D58BB">
        <w:t xml:space="preserve">The IRP Model described in the next section </w:t>
      </w:r>
      <w:r w:rsidR="003C6389">
        <w:t xml:space="preserve">has </w:t>
      </w:r>
      <w:r w:rsidR="002D58BB">
        <w:t xml:space="preserve">the flexibility to add additional candidate resources. </w:t>
      </w:r>
      <w:r w:rsidR="00A25320">
        <w:t xml:space="preserve"> </w:t>
      </w:r>
      <w:r w:rsidR="002D58BB">
        <w:t xml:space="preserve">For example, we understand that there is interest in local generation </w:t>
      </w:r>
      <w:r w:rsidR="003C6389">
        <w:t xml:space="preserve">beyond Community Solar, such as </w:t>
      </w:r>
      <w:r w:rsidR="002D58BB">
        <w:t xml:space="preserve">biomass, but the scale and scope is unknown </w:t>
      </w:r>
      <w:proofErr w:type="gramStart"/>
      <w:r w:rsidR="002D58BB">
        <w:t>at this time</w:t>
      </w:r>
      <w:proofErr w:type="gramEnd"/>
      <w:r w:rsidR="002D58BB">
        <w:t xml:space="preserve">. </w:t>
      </w:r>
      <w:r w:rsidR="00A25320">
        <w:t xml:space="preserve"> </w:t>
      </w:r>
      <w:r w:rsidR="002D58BB">
        <w:t>Therefore, the biomass resources were not considered.</w:t>
      </w:r>
    </w:p>
    <w:p w14:paraId="37818D9A" w14:textId="3E540F7D" w:rsidR="00B614C5" w:rsidRDefault="0034306A" w:rsidP="00874CCC">
      <w:pPr>
        <w:spacing w:before="240"/>
      </w:pPr>
      <w:r w:rsidRPr="00874CCC">
        <w:t xml:space="preserve">One important goal of resource planning is to reduce carbon emissions from generating electricity and consuming energy.  Solar and wind resources meet this </w:t>
      </w:r>
      <w:proofErr w:type="gramStart"/>
      <w:r w:rsidRPr="00874CCC">
        <w:t>criterion</w:t>
      </w:r>
      <w:proofErr w:type="gramEnd"/>
      <w:r w:rsidRPr="00874CCC">
        <w:t xml:space="preserve"> but they operate only in hours that the sun is visible or the wind is blowing.  Hence, they must be augmented by battery storage</w:t>
      </w:r>
      <w:r w:rsidR="00F417C1">
        <w:t xml:space="preserve"> and/or resources with complementary availability</w:t>
      </w:r>
      <w:r w:rsidRPr="00874CCC">
        <w:t xml:space="preserve">. </w:t>
      </w:r>
      <w:r w:rsidR="00A25320">
        <w:t xml:space="preserve"> </w:t>
      </w:r>
      <w:r w:rsidR="00401A84">
        <w:t xml:space="preserve">We </w:t>
      </w:r>
      <w:r w:rsidR="00F417C1">
        <w:t xml:space="preserve">modeled </w:t>
      </w:r>
      <w:r w:rsidR="00401A84">
        <w:t xml:space="preserve">a utility-scale 4-hour battery storage </w:t>
      </w:r>
      <w:r w:rsidR="00F417C1">
        <w:t xml:space="preserve">resource </w:t>
      </w:r>
      <w:r w:rsidR="00401A84">
        <w:t xml:space="preserve">and </w:t>
      </w:r>
      <w:r w:rsidR="00F417C1">
        <w:t xml:space="preserve">a </w:t>
      </w:r>
      <w:r w:rsidR="00401A84">
        <w:t>separate TDPUD internal 4-hour battery storage</w:t>
      </w:r>
      <w:r w:rsidR="00F417C1">
        <w:t xml:space="preserve"> </w:t>
      </w:r>
      <w:r w:rsidR="00755986">
        <w:t>resource</w:t>
      </w:r>
      <w:r w:rsidR="00401A84">
        <w:t>.</w:t>
      </w:r>
      <w:r w:rsidR="00A25320">
        <w:t xml:space="preserve"> </w:t>
      </w:r>
      <w:r w:rsidR="00401A84">
        <w:t xml:space="preserve"> I</w:t>
      </w:r>
      <w:r w:rsidR="0017506E">
        <w:t>n</w:t>
      </w:r>
      <w:r w:rsidR="00401A84">
        <w:t xml:space="preserve"> addition, we </w:t>
      </w:r>
      <w:r w:rsidR="00F417C1">
        <w:t xml:space="preserve">modeled </w:t>
      </w:r>
      <w:r w:rsidR="00401A84">
        <w:t>a longer-duration 8-hour battery storage</w:t>
      </w:r>
      <w:r w:rsidR="00F417C1">
        <w:t xml:space="preserve"> resources</w:t>
      </w:r>
      <w:r w:rsidR="00401A84">
        <w:t>. All battery storage resources were assumed to have 85% round-trip efficiency.</w:t>
      </w:r>
      <w:r w:rsidR="00401A84">
        <w:rPr>
          <w:rStyle w:val="FootnoteReference"/>
        </w:rPr>
        <w:footnoteReference w:id="23"/>
      </w:r>
      <w:r w:rsidR="00401A84">
        <w:t xml:space="preserve"> </w:t>
      </w:r>
    </w:p>
    <w:p w14:paraId="01C747CF" w14:textId="4C7937EC" w:rsidR="0034306A" w:rsidRPr="00874CCC" w:rsidRDefault="0034306A" w:rsidP="00874CCC">
      <w:pPr>
        <w:spacing w:before="240"/>
      </w:pPr>
      <w:r w:rsidRPr="00874CCC">
        <w:t xml:space="preserve">Another option </w:t>
      </w:r>
      <w:r w:rsidR="00F417C1">
        <w:t xml:space="preserve">considered </w:t>
      </w:r>
      <w:r w:rsidRPr="00874CCC">
        <w:t>is nuclear power</w:t>
      </w:r>
      <w:r w:rsidR="00F417C1">
        <w:t xml:space="preserve"> resources</w:t>
      </w:r>
      <w:r w:rsidRPr="00874CCC">
        <w:t xml:space="preserve">.  The nuclear option we assess is not from the old, massively </w:t>
      </w:r>
      <w:proofErr w:type="gramStart"/>
      <w:r w:rsidRPr="00874CCC">
        <w:t>large</w:t>
      </w:r>
      <w:proofErr w:type="gramEnd"/>
      <w:r w:rsidRPr="00874CCC">
        <w:t xml:space="preserve"> and complex 1000-MW reactors that use large quantities of water for cooling and create large amounts of spent fuel.  Instead, the option here is for what are known as a “small, modular reactor</w:t>
      </w:r>
      <w:r w:rsidR="00D46AC8" w:rsidRPr="00874CCC">
        <w:t>”</w:t>
      </w:r>
      <w:r w:rsidRPr="00874CCC">
        <w:t xml:space="preserve"> (SMR).  The Nuclear Regulatory Commission has approved </w:t>
      </w:r>
      <w:r w:rsidRPr="00874CCC">
        <w:lastRenderedPageBreak/>
        <w:t xml:space="preserve">a 50 MW design that is being deployed now.  It uses thorium as the fuel, not plutonium. </w:t>
      </w:r>
      <w:r w:rsidR="00980359" w:rsidRPr="00874CCC">
        <w:t xml:space="preserve"> The units</w:t>
      </w:r>
      <w:r w:rsidR="008A7C63" w:rsidRPr="00874CCC">
        <w:t xml:space="preserve">, which are 76 feet tall by 15 feet in diameter, </w:t>
      </w:r>
      <w:r w:rsidR="00980359" w:rsidRPr="00874CCC">
        <w:t>are</w:t>
      </w:r>
      <w:r w:rsidR="008A7C63" w:rsidRPr="00874CCC">
        <w:t xml:space="preserve"> each</w:t>
      </w:r>
      <w:r w:rsidR="00980359" w:rsidRPr="00874CCC">
        <w:t xml:space="preserve"> built in a factory and are identical, allowing economies of scale and scope to reduce error, </w:t>
      </w:r>
      <w:proofErr w:type="gramStart"/>
      <w:r w:rsidR="00980359" w:rsidRPr="00874CCC">
        <w:t>schedule</w:t>
      </w:r>
      <w:proofErr w:type="gramEnd"/>
      <w:r w:rsidR="00980359" w:rsidRPr="00874CCC">
        <w:t xml:space="preserve"> and cost risk.  The plants are housed in a factory-looking building, with no large cooling towers, and take fractions of square miles in terms of physical footprint.</w:t>
      </w:r>
    </w:p>
    <w:p w14:paraId="700AFDC1" w14:textId="547B7F89" w:rsidR="0017506E" w:rsidRDefault="00980359" w:rsidP="00401A84">
      <w:pPr>
        <w:spacing w:before="240"/>
      </w:pPr>
      <w:r>
        <w:t xml:space="preserve">UAMPS </w:t>
      </w:r>
      <w:r w:rsidR="00401A84">
        <w:t xml:space="preserve">considered </w:t>
      </w:r>
      <w:r>
        <w:t xml:space="preserve">participating in the Carbon Free Power Project (CFPP), which </w:t>
      </w:r>
      <w:r w:rsidR="00401A84">
        <w:t>would have been</w:t>
      </w:r>
      <w:r>
        <w:t xml:space="preserve"> located at the Idaho National Laboratory in Idaho </w:t>
      </w:r>
      <w:proofErr w:type="gramStart"/>
      <w:r>
        <w:t>Falls</w:t>
      </w:r>
      <w:r w:rsidR="00401A84">
        <w:t>, and</w:t>
      </w:r>
      <w:proofErr w:type="gramEnd"/>
      <w:r w:rsidR="00401A84">
        <w:t xml:space="preserve"> was envisioned to </w:t>
      </w:r>
      <w:r>
        <w:t xml:space="preserve">consist of six modules and generate 462 MW. </w:t>
      </w:r>
      <w:r w:rsidR="00A25320">
        <w:t xml:space="preserve"> </w:t>
      </w:r>
      <w:r w:rsidR="00401A84">
        <w:t xml:space="preserve">In November 2023, UAMPS and </w:t>
      </w:r>
      <w:proofErr w:type="spellStart"/>
      <w:r w:rsidR="00401A84">
        <w:t>NuScale</w:t>
      </w:r>
      <w:proofErr w:type="spellEnd"/>
      <w:r w:rsidR="00401A84">
        <w:t xml:space="preserve"> agreed to terminate the CFPP.</w:t>
      </w:r>
      <w:r w:rsidR="00401A84">
        <w:rPr>
          <w:rStyle w:val="FootnoteReference"/>
        </w:rPr>
        <w:footnoteReference w:id="24"/>
      </w:r>
      <w:r w:rsidR="00401A84">
        <w:t xml:space="preserve"> </w:t>
      </w:r>
      <w:r w:rsidR="00A25320">
        <w:t xml:space="preserve"> </w:t>
      </w:r>
      <w:r w:rsidR="00401A84">
        <w:t xml:space="preserve">Therefore, although the TDPUD IRP model </w:t>
      </w:r>
      <w:r w:rsidR="00B614C5">
        <w:t>includes</w:t>
      </w:r>
      <w:r w:rsidR="00401A84">
        <w:t xml:space="preserve"> a provision for SMR candidate</w:t>
      </w:r>
      <w:r w:rsidR="00B614C5">
        <w:t xml:space="preserve"> </w:t>
      </w:r>
      <w:r w:rsidR="004C0B6C">
        <w:t>resources</w:t>
      </w:r>
      <w:r w:rsidR="00401A84">
        <w:t xml:space="preserve">, such as CFPP, it is not part of any resource portfolios considered in this report. </w:t>
      </w:r>
    </w:p>
    <w:p w14:paraId="319D0B7A" w14:textId="6D39C2F7" w:rsidR="0017506E" w:rsidRDefault="0017506E" w:rsidP="0017506E">
      <w:pPr>
        <w:spacing w:before="240"/>
      </w:pPr>
      <w:proofErr w:type="gramStart"/>
      <w:r>
        <w:t>Similar to</w:t>
      </w:r>
      <w:proofErr w:type="gramEnd"/>
      <w:r>
        <w:t xml:space="preserve"> the </w:t>
      </w:r>
      <w:r w:rsidRPr="0017506E">
        <w:t>existing 5-year market power purchase</w:t>
      </w:r>
      <w:r>
        <w:t xml:space="preserve"> contract that expires in March 2027, the availability of a new contract is assumed </w:t>
      </w:r>
      <w:r w:rsidR="004C0B6C">
        <w:t xml:space="preserve">at the </w:t>
      </w:r>
      <w:r>
        <w:t xml:space="preserve">beginning of </w:t>
      </w:r>
      <w:r w:rsidR="00A9482B">
        <w:t xml:space="preserve">December </w:t>
      </w:r>
      <w:r>
        <w:t>2027.</w:t>
      </w:r>
    </w:p>
    <w:p w14:paraId="038C2E91" w14:textId="51CFC3FD" w:rsidR="002D58BB" w:rsidRPr="00874A11" w:rsidRDefault="002D58BB" w:rsidP="00874A11">
      <w:pPr>
        <w:pStyle w:val="Heading2"/>
        <w:rPr>
          <w:b w:val="0"/>
          <w:bCs w:val="0"/>
          <w:sz w:val="24"/>
          <w:szCs w:val="24"/>
        </w:rPr>
      </w:pPr>
      <w:bookmarkStart w:id="17" w:name="_Toc153273290"/>
      <w:bookmarkStart w:id="18" w:name="_Toc153451647"/>
      <w:r w:rsidRPr="00874A11">
        <w:rPr>
          <w:bCs w:val="0"/>
          <w:sz w:val="24"/>
          <w:szCs w:val="24"/>
        </w:rPr>
        <w:t xml:space="preserve">IRP Model </w:t>
      </w:r>
      <w:r w:rsidR="00401A84" w:rsidRPr="00874A11">
        <w:rPr>
          <w:bCs w:val="0"/>
          <w:sz w:val="24"/>
          <w:szCs w:val="24"/>
        </w:rPr>
        <w:t>Features and Key Assumptions</w:t>
      </w:r>
      <w:bookmarkEnd w:id="17"/>
      <w:bookmarkEnd w:id="18"/>
    </w:p>
    <w:p w14:paraId="54FE5B5C" w14:textId="14F60FD4" w:rsidR="00401A84" w:rsidRPr="00874A11" w:rsidRDefault="00CC3E49" w:rsidP="003A3A04">
      <w:r w:rsidRPr="00874A11">
        <w:t xml:space="preserve">Aspen and Flynn RCI developed a customized </w:t>
      </w:r>
      <w:r w:rsidR="0074735A" w:rsidRPr="00874A11">
        <w:rPr>
          <w:i/>
          <w:iCs/>
        </w:rPr>
        <w:t>MS</w:t>
      </w:r>
      <w:r w:rsidR="0074735A">
        <w:t xml:space="preserve"> </w:t>
      </w:r>
      <w:r w:rsidR="004C0B6C">
        <w:rPr>
          <w:i/>
          <w:iCs/>
        </w:rPr>
        <w:t>Excel spreadsheet</w:t>
      </w:r>
      <w:r w:rsidRPr="00874A11">
        <w:t xml:space="preserve"> model </w:t>
      </w:r>
      <w:r>
        <w:t xml:space="preserve">for the </w:t>
      </w:r>
      <w:r w:rsidR="004C0B6C">
        <w:t>District's</w:t>
      </w:r>
      <w:r>
        <w:t xml:space="preserve"> IRP. </w:t>
      </w:r>
      <w:r w:rsidR="00A25320">
        <w:t xml:space="preserve"> </w:t>
      </w:r>
      <w:r w:rsidR="00AB3848">
        <w:t>The IRP covers the planning period of 2024-2040.</w:t>
      </w:r>
      <w:r w:rsidR="00BB4497">
        <w:t xml:space="preserve"> </w:t>
      </w:r>
      <w:r w:rsidR="00A25320">
        <w:t xml:space="preserve"> </w:t>
      </w:r>
      <w:r w:rsidR="00BB4497">
        <w:t>It includes electric g</w:t>
      </w:r>
      <w:r w:rsidR="00BB4497" w:rsidRPr="00BB4497">
        <w:t>eneration and load data aggregated to monthly and annual levels</w:t>
      </w:r>
      <w:r w:rsidR="00BB4497">
        <w:t xml:space="preserve">. However, the underlying hourly calculations are also performed </w:t>
      </w:r>
      <w:r w:rsidR="00BB4497" w:rsidRPr="00BB4497">
        <w:t xml:space="preserve">to test </w:t>
      </w:r>
      <w:r w:rsidR="004C0B6C">
        <w:t xml:space="preserve">the </w:t>
      </w:r>
      <w:r w:rsidR="005E0507">
        <w:t xml:space="preserve">hourly </w:t>
      </w:r>
      <w:r w:rsidR="00BB4497" w:rsidRPr="00BB4497">
        <w:t>supply</w:t>
      </w:r>
      <w:r w:rsidR="00BB4497">
        <w:t>-</w:t>
      </w:r>
      <w:r w:rsidR="00BB4497" w:rsidRPr="00BB4497">
        <w:t>demand balance</w:t>
      </w:r>
      <w:r w:rsidR="005E0507">
        <w:t xml:space="preserve"> for each month</w:t>
      </w:r>
      <w:r w:rsidR="00BB4497">
        <w:t xml:space="preserve">. </w:t>
      </w:r>
      <w:r w:rsidR="00A25320">
        <w:t xml:space="preserve"> </w:t>
      </w:r>
      <w:r w:rsidR="00BB4497">
        <w:t xml:space="preserve">The IRP model tracks key criteria for each resource portfolio. </w:t>
      </w:r>
      <w:r w:rsidR="00A25320">
        <w:t xml:space="preserve"> </w:t>
      </w:r>
      <w:r w:rsidR="00BB4497">
        <w:t xml:space="preserve">These criteria include the ability of the District to </w:t>
      </w:r>
      <w:r w:rsidR="00BB4497" w:rsidRPr="00BB4497">
        <w:t xml:space="preserve">have sufficient </w:t>
      </w:r>
      <w:r w:rsidR="00BB4497">
        <w:t xml:space="preserve">generation </w:t>
      </w:r>
      <w:r w:rsidR="00BB4497" w:rsidRPr="00BB4497">
        <w:t xml:space="preserve">capacity to meet </w:t>
      </w:r>
      <w:r w:rsidR="004C0B6C">
        <w:t>its</w:t>
      </w:r>
      <w:r w:rsidR="00BB4497" w:rsidRPr="00BB4497">
        <w:t xml:space="preserve"> peak load </w:t>
      </w:r>
      <w:r w:rsidR="005E0507">
        <w:t>and</w:t>
      </w:r>
      <w:r w:rsidR="00BB4497">
        <w:t xml:space="preserve"> planning</w:t>
      </w:r>
      <w:r w:rsidR="00BB4497" w:rsidRPr="00BB4497">
        <w:t xml:space="preserve"> reserve margin</w:t>
      </w:r>
      <w:r w:rsidR="00BB4497">
        <w:t xml:space="preserve"> (PRM)</w:t>
      </w:r>
      <w:r w:rsidR="00BB4497">
        <w:rPr>
          <w:rStyle w:val="FootnoteReference"/>
        </w:rPr>
        <w:footnoteReference w:id="25"/>
      </w:r>
      <w:r w:rsidR="00BB4497">
        <w:t xml:space="preserve"> to comply with </w:t>
      </w:r>
      <w:r w:rsidR="009E3DFF">
        <w:t xml:space="preserve">California </w:t>
      </w:r>
      <w:r w:rsidR="00BB4497">
        <w:t xml:space="preserve">Resource Adequacy (RA) </w:t>
      </w:r>
      <w:r w:rsidR="009E3DFF">
        <w:t>requirements</w:t>
      </w:r>
      <w:r w:rsidR="00BB4497">
        <w:t>.</w:t>
      </w:r>
      <w:r w:rsidR="00BB4497">
        <w:rPr>
          <w:rStyle w:val="FootnoteReference"/>
        </w:rPr>
        <w:footnoteReference w:id="26"/>
      </w:r>
      <w:r w:rsidR="00BB4497">
        <w:t xml:space="preserve"> Two additional criteria are the ability of the resource portfolio to meet the State RPS and GHG-free goals</w:t>
      </w:r>
      <w:r w:rsidR="004C0B6C">
        <w:t>,</w:t>
      </w:r>
      <w:r w:rsidR="002C3A5C">
        <w:t xml:space="preserve"> as described in detail in Appendix A</w:t>
      </w:r>
      <w:r w:rsidR="00BB4497">
        <w:t>.</w:t>
      </w:r>
    </w:p>
    <w:p w14:paraId="37B82C53" w14:textId="3ECA051E" w:rsidR="00401A84" w:rsidRDefault="004F2ADE" w:rsidP="002D58BB">
      <w:pPr>
        <w:spacing w:before="240"/>
      </w:pPr>
      <w:r w:rsidRPr="00874A11">
        <w:t>The P</w:t>
      </w:r>
      <w:r>
        <w:t xml:space="preserve">ower </w:t>
      </w:r>
      <w:r w:rsidRPr="00874A11">
        <w:t>P</w:t>
      </w:r>
      <w:r>
        <w:t xml:space="preserve">urchase </w:t>
      </w:r>
      <w:r w:rsidRPr="00874A11">
        <w:t>A</w:t>
      </w:r>
      <w:r>
        <w:t xml:space="preserve">greement (PPA) prices for the existing resource contracts are confidential. </w:t>
      </w:r>
      <w:r w:rsidR="00A25320">
        <w:t xml:space="preserve"> </w:t>
      </w:r>
      <w:r>
        <w:t>Table 3 shows the assumed PPA prices for the generic candidate future resources in the Base scenario.</w:t>
      </w:r>
    </w:p>
    <w:p w14:paraId="2AF4C91C" w14:textId="77777777" w:rsidR="005D5D9F" w:rsidRDefault="005D5D9F">
      <w:pPr>
        <w:spacing w:after="200" w:line="276" w:lineRule="auto"/>
        <w:rPr>
          <w:b/>
          <w:bCs/>
        </w:rPr>
      </w:pPr>
      <w:r>
        <w:rPr>
          <w:b/>
          <w:bCs/>
        </w:rPr>
        <w:br w:type="page"/>
      </w:r>
    </w:p>
    <w:p w14:paraId="392AFE02" w14:textId="326A16AD" w:rsidR="004F2ADE" w:rsidRDefault="004F2ADE" w:rsidP="000053DE">
      <w:pPr>
        <w:spacing w:after="120"/>
        <w:jc w:val="center"/>
        <w:rPr>
          <w:b/>
          <w:bCs/>
        </w:rPr>
      </w:pPr>
      <w:r w:rsidRPr="00874A11">
        <w:rPr>
          <w:b/>
          <w:bCs/>
        </w:rPr>
        <w:lastRenderedPageBreak/>
        <w:t>Table 3: Assumed PPA Prices (Nominal $)</w:t>
      </w:r>
    </w:p>
    <w:tbl>
      <w:tblPr>
        <w:tblStyle w:val="TableGrid"/>
        <w:tblW w:w="0" w:type="auto"/>
        <w:jc w:val="center"/>
        <w:tblLook w:val="04A0" w:firstRow="1" w:lastRow="0" w:firstColumn="1" w:lastColumn="0" w:noHBand="0" w:noVBand="1"/>
      </w:tblPr>
      <w:tblGrid>
        <w:gridCol w:w="3116"/>
        <w:gridCol w:w="2369"/>
      </w:tblGrid>
      <w:tr w:rsidR="004F2ADE" w:rsidRPr="001F1672" w14:paraId="0F8C094F" w14:textId="77777777" w:rsidTr="00B52E15">
        <w:trPr>
          <w:trHeight w:val="432"/>
          <w:jc w:val="center"/>
        </w:trPr>
        <w:tc>
          <w:tcPr>
            <w:tcW w:w="3116" w:type="dxa"/>
          </w:tcPr>
          <w:p w14:paraId="1DFDA359" w14:textId="1FACB12F" w:rsidR="004F2ADE" w:rsidRPr="001F1672" w:rsidRDefault="004F2ADE" w:rsidP="004F2ADE">
            <w:pPr>
              <w:jc w:val="center"/>
              <w:rPr>
                <w:b/>
                <w:bCs/>
                <w:color w:val="000000"/>
                <w:sz w:val="22"/>
                <w:szCs w:val="22"/>
              </w:rPr>
            </w:pPr>
            <w:r w:rsidRPr="001F1672">
              <w:rPr>
                <w:b/>
                <w:bCs/>
                <w:color w:val="000000"/>
                <w:sz w:val="22"/>
                <w:szCs w:val="22"/>
              </w:rPr>
              <w:t>Resource</w:t>
            </w:r>
          </w:p>
        </w:tc>
        <w:tc>
          <w:tcPr>
            <w:tcW w:w="2369" w:type="dxa"/>
          </w:tcPr>
          <w:p w14:paraId="267058DD" w14:textId="04CEDB1D" w:rsidR="004F2ADE" w:rsidRPr="001F1672" w:rsidRDefault="004F2ADE" w:rsidP="004F2ADE">
            <w:pPr>
              <w:jc w:val="center"/>
              <w:rPr>
                <w:b/>
                <w:bCs/>
                <w:sz w:val="22"/>
                <w:szCs w:val="22"/>
              </w:rPr>
            </w:pPr>
            <w:r w:rsidRPr="001F1672">
              <w:rPr>
                <w:b/>
                <w:bCs/>
                <w:sz w:val="22"/>
                <w:szCs w:val="22"/>
              </w:rPr>
              <w:t>PPA Price</w:t>
            </w:r>
          </w:p>
        </w:tc>
      </w:tr>
      <w:tr w:rsidR="004F2ADE" w:rsidRPr="001F1672" w14:paraId="16017E0B" w14:textId="77777777" w:rsidTr="00B52E15">
        <w:trPr>
          <w:trHeight w:val="432"/>
          <w:jc w:val="center"/>
        </w:trPr>
        <w:tc>
          <w:tcPr>
            <w:tcW w:w="3116" w:type="dxa"/>
            <w:vAlign w:val="bottom"/>
          </w:tcPr>
          <w:p w14:paraId="0A4DC8BC" w14:textId="7CFA53FF" w:rsidR="004F2ADE" w:rsidRPr="001F1672" w:rsidRDefault="004F2ADE" w:rsidP="004F2ADE">
            <w:pPr>
              <w:jc w:val="center"/>
              <w:rPr>
                <w:b/>
                <w:bCs/>
                <w:sz w:val="22"/>
                <w:szCs w:val="22"/>
              </w:rPr>
            </w:pPr>
            <w:r w:rsidRPr="001F1672">
              <w:rPr>
                <w:color w:val="000000"/>
                <w:sz w:val="22"/>
                <w:szCs w:val="22"/>
              </w:rPr>
              <w:t>New Solar Resource</w:t>
            </w:r>
          </w:p>
        </w:tc>
        <w:tc>
          <w:tcPr>
            <w:tcW w:w="2369" w:type="dxa"/>
            <w:vAlign w:val="bottom"/>
          </w:tcPr>
          <w:p w14:paraId="651A8E24" w14:textId="46C9BE4F" w:rsidR="004F2ADE" w:rsidRPr="001F1672" w:rsidRDefault="004F2ADE" w:rsidP="00874A11">
            <w:pPr>
              <w:rPr>
                <w:b/>
                <w:bCs/>
                <w:sz w:val="22"/>
                <w:szCs w:val="22"/>
              </w:rPr>
            </w:pPr>
            <w:bookmarkStart w:id="19" w:name="RANGE!C213"/>
            <w:r w:rsidRPr="001F1672">
              <w:rPr>
                <w:color w:val="000000"/>
                <w:sz w:val="22"/>
                <w:szCs w:val="22"/>
              </w:rPr>
              <w:t>$ 65.00</w:t>
            </w:r>
            <w:bookmarkEnd w:id="19"/>
            <w:r w:rsidRPr="001F1672">
              <w:rPr>
                <w:color w:val="000000"/>
                <w:sz w:val="22"/>
                <w:szCs w:val="22"/>
              </w:rPr>
              <w:t>/MWh</w:t>
            </w:r>
            <w:r w:rsidR="0073780B" w:rsidRPr="001F1672">
              <w:rPr>
                <w:color w:val="000000"/>
                <w:sz w:val="22"/>
                <w:szCs w:val="22"/>
              </w:rPr>
              <w:t>*</w:t>
            </w:r>
          </w:p>
        </w:tc>
      </w:tr>
      <w:tr w:rsidR="004F2ADE" w:rsidRPr="001F1672" w14:paraId="497CF7C9" w14:textId="77777777" w:rsidTr="00B52E15">
        <w:trPr>
          <w:trHeight w:val="432"/>
          <w:jc w:val="center"/>
        </w:trPr>
        <w:tc>
          <w:tcPr>
            <w:tcW w:w="3116" w:type="dxa"/>
            <w:vAlign w:val="bottom"/>
          </w:tcPr>
          <w:p w14:paraId="524D33B4" w14:textId="23149846" w:rsidR="004F2ADE" w:rsidRPr="001F1672" w:rsidRDefault="004F2ADE" w:rsidP="004F2ADE">
            <w:pPr>
              <w:jc w:val="center"/>
              <w:rPr>
                <w:b/>
                <w:bCs/>
                <w:sz w:val="22"/>
                <w:szCs w:val="22"/>
              </w:rPr>
            </w:pPr>
            <w:r w:rsidRPr="001F1672">
              <w:rPr>
                <w:color w:val="000000"/>
                <w:sz w:val="22"/>
                <w:szCs w:val="22"/>
              </w:rPr>
              <w:t xml:space="preserve">New </w:t>
            </w:r>
            <w:r w:rsidR="004C0B6C" w:rsidRPr="001F1672">
              <w:rPr>
                <w:color w:val="000000"/>
                <w:sz w:val="22"/>
                <w:szCs w:val="22"/>
              </w:rPr>
              <w:t>4-hour</w:t>
            </w:r>
            <w:r w:rsidRPr="001F1672">
              <w:rPr>
                <w:color w:val="000000"/>
                <w:sz w:val="22"/>
                <w:szCs w:val="22"/>
              </w:rPr>
              <w:t xml:space="preserve"> Storage</w:t>
            </w:r>
          </w:p>
        </w:tc>
        <w:tc>
          <w:tcPr>
            <w:tcW w:w="2369" w:type="dxa"/>
            <w:vAlign w:val="bottom"/>
          </w:tcPr>
          <w:p w14:paraId="76C553B5" w14:textId="1B5514E3" w:rsidR="004F2ADE" w:rsidRPr="001F1672" w:rsidRDefault="004F2ADE" w:rsidP="00874A11">
            <w:pPr>
              <w:rPr>
                <w:b/>
                <w:bCs/>
                <w:sz w:val="22"/>
                <w:szCs w:val="22"/>
              </w:rPr>
            </w:pPr>
            <w:r w:rsidRPr="001F1672">
              <w:rPr>
                <w:color w:val="000000"/>
                <w:sz w:val="22"/>
                <w:szCs w:val="22"/>
              </w:rPr>
              <w:t>$ 20.00/kW-</w:t>
            </w:r>
            <w:proofErr w:type="spellStart"/>
            <w:r w:rsidRPr="001F1672">
              <w:rPr>
                <w:color w:val="000000"/>
                <w:sz w:val="22"/>
                <w:szCs w:val="22"/>
              </w:rPr>
              <w:t>Yr</w:t>
            </w:r>
            <w:proofErr w:type="spellEnd"/>
            <w:r w:rsidR="0073780B" w:rsidRPr="001F1672">
              <w:rPr>
                <w:color w:val="000000"/>
                <w:sz w:val="22"/>
                <w:szCs w:val="22"/>
              </w:rPr>
              <w:t>*</w:t>
            </w:r>
          </w:p>
        </w:tc>
      </w:tr>
      <w:tr w:rsidR="004F2ADE" w:rsidRPr="001F1672" w14:paraId="35A351F1" w14:textId="77777777" w:rsidTr="00B52E15">
        <w:trPr>
          <w:trHeight w:val="432"/>
          <w:jc w:val="center"/>
        </w:trPr>
        <w:tc>
          <w:tcPr>
            <w:tcW w:w="3116" w:type="dxa"/>
            <w:vAlign w:val="bottom"/>
          </w:tcPr>
          <w:p w14:paraId="5A3AB4FB" w14:textId="40B16D35" w:rsidR="004F2ADE" w:rsidRPr="001F1672" w:rsidRDefault="004F2ADE" w:rsidP="004F2ADE">
            <w:pPr>
              <w:jc w:val="center"/>
              <w:rPr>
                <w:b/>
                <w:bCs/>
                <w:sz w:val="22"/>
                <w:szCs w:val="22"/>
              </w:rPr>
            </w:pPr>
            <w:r w:rsidRPr="001F1672">
              <w:rPr>
                <w:color w:val="000000"/>
                <w:sz w:val="22"/>
                <w:szCs w:val="22"/>
              </w:rPr>
              <w:t xml:space="preserve">New </w:t>
            </w:r>
            <w:r w:rsidR="004C0B6C" w:rsidRPr="001F1672">
              <w:rPr>
                <w:color w:val="000000"/>
                <w:sz w:val="22"/>
                <w:szCs w:val="22"/>
              </w:rPr>
              <w:t>8-hour</w:t>
            </w:r>
            <w:r w:rsidRPr="001F1672">
              <w:rPr>
                <w:color w:val="000000"/>
                <w:sz w:val="22"/>
                <w:szCs w:val="22"/>
              </w:rPr>
              <w:t xml:space="preserve"> Storage</w:t>
            </w:r>
          </w:p>
        </w:tc>
        <w:tc>
          <w:tcPr>
            <w:tcW w:w="2369" w:type="dxa"/>
            <w:vAlign w:val="bottom"/>
          </w:tcPr>
          <w:p w14:paraId="193DEEA8" w14:textId="48900567" w:rsidR="004F2ADE" w:rsidRPr="001F1672" w:rsidRDefault="004F2ADE" w:rsidP="00874A11">
            <w:pPr>
              <w:rPr>
                <w:b/>
                <w:bCs/>
                <w:sz w:val="22"/>
                <w:szCs w:val="22"/>
              </w:rPr>
            </w:pPr>
            <w:r w:rsidRPr="001F1672">
              <w:rPr>
                <w:color w:val="000000"/>
                <w:sz w:val="22"/>
                <w:szCs w:val="22"/>
              </w:rPr>
              <w:t>$ 23.00/kW-</w:t>
            </w:r>
            <w:proofErr w:type="spellStart"/>
            <w:r w:rsidRPr="001F1672">
              <w:rPr>
                <w:color w:val="000000"/>
                <w:sz w:val="22"/>
                <w:szCs w:val="22"/>
              </w:rPr>
              <w:t>Yr</w:t>
            </w:r>
            <w:proofErr w:type="spellEnd"/>
            <w:r w:rsidR="0073780B" w:rsidRPr="001F1672">
              <w:rPr>
                <w:color w:val="000000"/>
                <w:sz w:val="22"/>
                <w:szCs w:val="22"/>
              </w:rPr>
              <w:t>*</w:t>
            </w:r>
          </w:p>
        </w:tc>
      </w:tr>
      <w:tr w:rsidR="004F2ADE" w:rsidRPr="001F1672" w14:paraId="71794480" w14:textId="77777777" w:rsidTr="00B52E15">
        <w:trPr>
          <w:trHeight w:val="432"/>
          <w:jc w:val="center"/>
        </w:trPr>
        <w:tc>
          <w:tcPr>
            <w:tcW w:w="3116" w:type="dxa"/>
            <w:vAlign w:val="bottom"/>
          </w:tcPr>
          <w:p w14:paraId="558B47EB" w14:textId="06C7F17E" w:rsidR="004F2ADE" w:rsidRPr="001F1672" w:rsidRDefault="004F2ADE" w:rsidP="004F2ADE">
            <w:pPr>
              <w:jc w:val="center"/>
              <w:rPr>
                <w:b/>
                <w:bCs/>
                <w:sz w:val="22"/>
                <w:szCs w:val="22"/>
              </w:rPr>
            </w:pPr>
            <w:r w:rsidRPr="001F1672">
              <w:rPr>
                <w:color w:val="000000"/>
                <w:sz w:val="22"/>
                <w:szCs w:val="22"/>
              </w:rPr>
              <w:t>New Geothermal Resource</w:t>
            </w:r>
          </w:p>
        </w:tc>
        <w:tc>
          <w:tcPr>
            <w:tcW w:w="2369" w:type="dxa"/>
            <w:vAlign w:val="bottom"/>
          </w:tcPr>
          <w:p w14:paraId="5B52D324" w14:textId="59494E8B" w:rsidR="004F2ADE" w:rsidRPr="001F1672" w:rsidRDefault="004F2ADE" w:rsidP="00874A11">
            <w:pPr>
              <w:rPr>
                <w:b/>
                <w:bCs/>
                <w:sz w:val="22"/>
                <w:szCs w:val="22"/>
              </w:rPr>
            </w:pPr>
            <w:bookmarkStart w:id="20" w:name="RANGE!C216"/>
            <w:r w:rsidRPr="001F1672">
              <w:rPr>
                <w:color w:val="000000"/>
                <w:sz w:val="22"/>
                <w:szCs w:val="22"/>
              </w:rPr>
              <w:t>$ 85.00/MWh</w:t>
            </w:r>
            <w:bookmarkEnd w:id="20"/>
            <w:r w:rsidR="0073780B" w:rsidRPr="001F1672">
              <w:rPr>
                <w:color w:val="000000"/>
                <w:sz w:val="22"/>
                <w:szCs w:val="22"/>
              </w:rPr>
              <w:t>**</w:t>
            </w:r>
          </w:p>
        </w:tc>
      </w:tr>
      <w:tr w:rsidR="004F2ADE" w:rsidRPr="001F1672" w14:paraId="1B5C00B9" w14:textId="77777777" w:rsidTr="00B52E15">
        <w:trPr>
          <w:trHeight w:val="432"/>
          <w:jc w:val="center"/>
        </w:trPr>
        <w:tc>
          <w:tcPr>
            <w:tcW w:w="3116" w:type="dxa"/>
            <w:vAlign w:val="bottom"/>
          </w:tcPr>
          <w:p w14:paraId="5445D01F" w14:textId="14F7BB12" w:rsidR="004F2ADE" w:rsidRPr="001F1672" w:rsidRDefault="004F2ADE" w:rsidP="004F2ADE">
            <w:pPr>
              <w:jc w:val="center"/>
              <w:rPr>
                <w:b/>
                <w:bCs/>
                <w:sz w:val="22"/>
                <w:szCs w:val="22"/>
              </w:rPr>
            </w:pPr>
            <w:r w:rsidRPr="001F1672">
              <w:rPr>
                <w:color w:val="000000"/>
                <w:sz w:val="22"/>
                <w:szCs w:val="22"/>
              </w:rPr>
              <w:t>CFPP</w:t>
            </w:r>
            <w:r w:rsidR="0073780B" w:rsidRPr="001F1672">
              <w:rPr>
                <w:color w:val="000000"/>
                <w:sz w:val="22"/>
                <w:szCs w:val="22"/>
              </w:rPr>
              <w:t>/SMR</w:t>
            </w:r>
          </w:p>
        </w:tc>
        <w:tc>
          <w:tcPr>
            <w:tcW w:w="2369" w:type="dxa"/>
            <w:vAlign w:val="bottom"/>
          </w:tcPr>
          <w:p w14:paraId="154E0537" w14:textId="468AD787" w:rsidR="004F2ADE" w:rsidRPr="001F1672" w:rsidRDefault="004F2ADE" w:rsidP="00874A11">
            <w:pPr>
              <w:rPr>
                <w:b/>
                <w:bCs/>
                <w:sz w:val="22"/>
                <w:szCs w:val="22"/>
              </w:rPr>
            </w:pPr>
            <w:bookmarkStart w:id="21" w:name="RANGE!C217"/>
            <w:r w:rsidRPr="001F1672">
              <w:rPr>
                <w:color w:val="000000"/>
                <w:sz w:val="22"/>
                <w:szCs w:val="22"/>
              </w:rPr>
              <w:t>$ 90.00/MWh</w:t>
            </w:r>
            <w:r w:rsidR="0073780B" w:rsidRPr="001F1672">
              <w:rPr>
                <w:color w:val="000000"/>
                <w:sz w:val="22"/>
                <w:szCs w:val="22"/>
              </w:rPr>
              <w:t>***</w:t>
            </w:r>
            <w:bookmarkEnd w:id="21"/>
          </w:p>
        </w:tc>
      </w:tr>
      <w:tr w:rsidR="004F2ADE" w:rsidRPr="001F1672" w14:paraId="49D2DD99" w14:textId="77777777" w:rsidTr="00B52E15">
        <w:trPr>
          <w:trHeight w:val="432"/>
          <w:jc w:val="center"/>
        </w:trPr>
        <w:tc>
          <w:tcPr>
            <w:tcW w:w="3116" w:type="dxa"/>
            <w:vAlign w:val="bottom"/>
          </w:tcPr>
          <w:p w14:paraId="33947C6B" w14:textId="2C46B836" w:rsidR="004F2ADE" w:rsidRPr="001F1672" w:rsidRDefault="004F2ADE" w:rsidP="004F2ADE">
            <w:pPr>
              <w:jc w:val="center"/>
              <w:rPr>
                <w:b/>
                <w:bCs/>
                <w:sz w:val="22"/>
                <w:szCs w:val="22"/>
              </w:rPr>
            </w:pPr>
            <w:r w:rsidRPr="001F1672">
              <w:rPr>
                <w:color w:val="000000"/>
                <w:sz w:val="22"/>
                <w:szCs w:val="22"/>
              </w:rPr>
              <w:t xml:space="preserve">Community Solar </w:t>
            </w:r>
          </w:p>
        </w:tc>
        <w:tc>
          <w:tcPr>
            <w:tcW w:w="2369" w:type="dxa"/>
          </w:tcPr>
          <w:p w14:paraId="6275EC16" w14:textId="1C6E81A1" w:rsidR="004F2ADE" w:rsidRPr="001F1672" w:rsidRDefault="004F2ADE" w:rsidP="00874A11">
            <w:pPr>
              <w:rPr>
                <w:b/>
                <w:bCs/>
                <w:sz w:val="22"/>
                <w:szCs w:val="22"/>
              </w:rPr>
            </w:pPr>
            <w:r w:rsidRPr="001F1672">
              <w:rPr>
                <w:color w:val="000000"/>
                <w:sz w:val="22"/>
                <w:szCs w:val="22"/>
              </w:rPr>
              <w:t>$130/MWh</w:t>
            </w:r>
            <w:r w:rsidR="0073780B" w:rsidRPr="001F1672">
              <w:rPr>
                <w:color w:val="000000"/>
                <w:sz w:val="22"/>
                <w:szCs w:val="22"/>
              </w:rPr>
              <w:t>****</w:t>
            </w:r>
          </w:p>
        </w:tc>
      </w:tr>
      <w:tr w:rsidR="004F2ADE" w:rsidRPr="001F1672" w14:paraId="7B0B7D67" w14:textId="77777777" w:rsidTr="00B52E15">
        <w:trPr>
          <w:trHeight w:val="432"/>
          <w:jc w:val="center"/>
        </w:trPr>
        <w:tc>
          <w:tcPr>
            <w:tcW w:w="3116" w:type="dxa"/>
            <w:vAlign w:val="bottom"/>
          </w:tcPr>
          <w:p w14:paraId="345E1510" w14:textId="1D260616" w:rsidR="004F2ADE" w:rsidRPr="001F1672" w:rsidRDefault="004C0B6C" w:rsidP="004F2ADE">
            <w:pPr>
              <w:jc w:val="center"/>
              <w:rPr>
                <w:color w:val="000000"/>
                <w:sz w:val="22"/>
                <w:szCs w:val="22"/>
              </w:rPr>
            </w:pPr>
            <w:r w:rsidRPr="001F1672">
              <w:rPr>
                <w:color w:val="000000"/>
                <w:sz w:val="22"/>
                <w:szCs w:val="22"/>
              </w:rPr>
              <w:t>4-Hour</w:t>
            </w:r>
            <w:r w:rsidR="004F2ADE" w:rsidRPr="001F1672">
              <w:rPr>
                <w:color w:val="000000"/>
                <w:sz w:val="22"/>
                <w:szCs w:val="22"/>
              </w:rPr>
              <w:t xml:space="preserve"> TDPUD Storage</w:t>
            </w:r>
          </w:p>
        </w:tc>
        <w:tc>
          <w:tcPr>
            <w:tcW w:w="2369" w:type="dxa"/>
          </w:tcPr>
          <w:p w14:paraId="185AC7B4" w14:textId="06801C2C" w:rsidR="004F2ADE" w:rsidRPr="001F1672" w:rsidRDefault="004F2ADE" w:rsidP="00874A11">
            <w:pPr>
              <w:rPr>
                <w:b/>
                <w:bCs/>
                <w:sz w:val="22"/>
                <w:szCs w:val="22"/>
              </w:rPr>
            </w:pPr>
            <w:r w:rsidRPr="001F1672">
              <w:rPr>
                <w:color w:val="000000"/>
                <w:sz w:val="22"/>
                <w:szCs w:val="22"/>
              </w:rPr>
              <w:t>$24/kW-</w:t>
            </w:r>
            <w:proofErr w:type="spellStart"/>
            <w:r w:rsidRPr="001F1672">
              <w:rPr>
                <w:color w:val="000000"/>
                <w:sz w:val="22"/>
                <w:szCs w:val="22"/>
              </w:rPr>
              <w:t>Yr</w:t>
            </w:r>
            <w:proofErr w:type="spellEnd"/>
            <w:r w:rsidR="0073780B" w:rsidRPr="001F1672">
              <w:rPr>
                <w:color w:val="000000"/>
                <w:sz w:val="22"/>
                <w:szCs w:val="22"/>
              </w:rPr>
              <w:t>****</w:t>
            </w:r>
          </w:p>
        </w:tc>
      </w:tr>
    </w:tbl>
    <w:p w14:paraId="6EE59BAB" w14:textId="53BB82A8" w:rsidR="0073780B" w:rsidRPr="00874A11" w:rsidRDefault="0073780B" w:rsidP="00B52E15">
      <w:pPr>
        <w:spacing w:before="60"/>
        <w:rPr>
          <w:sz w:val="20"/>
          <w:szCs w:val="20"/>
        </w:rPr>
      </w:pPr>
      <w:r w:rsidRPr="00874A11">
        <w:rPr>
          <w:b/>
          <w:bCs/>
          <w:sz w:val="20"/>
          <w:szCs w:val="20"/>
        </w:rPr>
        <w:t>*Source:</w:t>
      </w:r>
      <w:r w:rsidRPr="00874A11">
        <w:rPr>
          <w:sz w:val="20"/>
          <w:szCs w:val="20"/>
        </w:rPr>
        <w:t xml:space="preserve"> Market intelligence applied to data from </w:t>
      </w:r>
      <w:hyperlink r:id="rId35" w:history="1">
        <w:r w:rsidRPr="0073780B">
          <w:rPr>
            <w:rStyle w:val="Hyperlink"/>
            <w:sz w:val="20"/>
            <w:szCs w:val="20"/>
          </w:rPr>
          <w:t>https://eta-publications.lbl.gov/sites/default/files/utility_scale_solar_2022_edition_slides.pdf</w:t>
        </w:r>
      </w:hyperlink>
      <w:r w:rsidRPr="00874A11">
        <w:rPr>
          <w:sz w:val="20"/>
          <w:szCs w:val="20"/>
        </w:rPr>
        <w:t xml:space="preserve"> </w:t>
      </w:r>
    </w:p>
    <w:p w14:paraId="56CBDEC5" w14:textId="0BFD4DFA" w:rsidR="0073780B" w:rsidRPr="0073780B" w:rsidRDefault="0073780B" w:rsidP="0073780B">
      <w:pPr>
        <w:rPr>
          <w:sz w:val="20"/>
          <w:szCs w:val="20"/>
        </w:rPr>
      </w:pPr>
      <w:r w:rsidRPr="0073780B">
        <w:rPr>
          <w:sz w:val="20"/>
          <w:szCs w:val="20"/>
        </w:rPr>
        <w:t>**</w:t>
      </w:r>
      <w:r w:rsidRPr="00874A11">
        <w:rPr>
          <w:b/>
          <w:bCs/>
          <w:sz w:val="20"/>
          <w:szCs w:val="20"/>
        </w:rPr>
        <w:t xml:space="preserve"> Source:</w:t>
      </w:r>
      <w:r w:rsidRPr="00874A11">
        <w:rPr>
          <w:sz w:val="20"/>
          <w:szCs w:val="20"/>
        </w:rPr>
        <w:t xml:space="preserve"> Market intelligence applied to data from</w:t>
      </w:r>
      <w:r w:rsidRPr="0073780B">
        <w:rPr>
          <w:sz w:val="20"/>
          <w:szCs w:val="20"/>
        </w:rPr>
        <w:t xml:space="preserve"> </w:t>
      </w:r>
      <w:hyperlink r:id="rId36" w:history="1">
        <w:r w:rsidRPr="0073780B">
          <w:rPr>
            <w:rStyle w:val="Hyperlink"/>
            <w:sz w:val="20"/>
            <w:szCs w:val="20"/>
          </w:rPr>
          <w:t>https://geothermal.org/our-impact/stories/geothermal-power-purchase-agreements-rise</w:t>
        </w:r>
      </w:hyperlink>
    </w:p>
    <w:p w14:paraId="340DB6EA" w14:textId="77777777" w:rsidR="0073780B" w:rsidRPr="00D31F12" w:rsidRDefault="0073780B" w:rsidP="0073780B">
      <w:pPr>
        <w:rPr>
          <w:sz w:val="20"/>
          <w:szCs w:val="20"/>
          <w:lang w:val="fr-FR"/>
        </w:rPr>
      </w:pPr>
      <w:r w:rsidRPr="00D31F12">
        <w:rPr>
          <w:sz w:val="20"/>
          <w:szCs w:val="20"/>
          <w:lang w:val="fr-FR"/>
        </w:rPr>
        <w:t>***</w:t>
      </w:r>
      <w:proofErr w:type="gramStart"/>
      <w:r w:rsidRPr="00D31F12">
        <w:rPr>
          <w:sz w:val="20"/>
          <w:szCs w:val="20"/>
          <w:lang w:val="fr-FR"/>
        </w:rPr>
        <w:t>Source:</w:t>
      </w:r>
      <w:proofErr w:type="gramEnd"/>
      <w:r w:rsidRPr="00D31F12">
        <w:rPr>
          <w:sz w:val="20"/>
          <w:szCs w:val="20"/>
          <w:lang w:val="fr-FR"/>
        </w:rPr>
        <w:t xml:space="preserve"> </w:t>
      </w:r>
      <w:hyperlink r:id="rId37" w:history="1">
        <w:r w:rsidRPr="00D31F12">
          <w:rPr>
            <w:rStyle w:val="Hyperlink"/>
            <w:sz w:val="20"/>
            <w:szCs w:val="20"/>
            <w:lang w:val="fr-FR"/>
          </w:rPr>
          <w:t>https://ieefa.org/resources/eye-popping-new-cost-estimates-released-nuscale-small-modular-reactor</w:t>
        </w:r>
      </w:hyperlink>
      <w:r w:rsidRPr="00D31F12">
        <w:rPr>
          <w:sz w:val="20"/>
          <w:szCs w:val="20"/>
          <w:lang w:val="fr-FR"/>
        </w:rPr>
        <w:t xml:space="preserve"> </w:t>
      </w:r>
    </w:p>
    <w:p w14:paraId="00564597" w14:textId="4B503585" w:rsidR="0073780B" w:rsidRPr="0073780B" w:rsidRDefault="0073780B" w:rsidP="0073780B">
      <w:pPr>
        <w:rPr>
          <w:sz w:val="20"/>
          <w:szCs w:val="20"/>
        </w:rPr>
      </w:pPr>
      <w:r w:rsidRPr="0073780B">
        <w:rPr>
          <w:sz w:val="20"/>
          <w:szCs w:val="20"/>
        </w:rPr>
        <w:t xml:space="preserve">****Assumption </w:t>
      </w:r>
    </w:p>
    <w:p w14:paraId="15A61B64" w14:textId="67332637" w:rsidR="00BC5F64" w:rsidRDefault="00BC5F64" w:rsidP="00185F14">
      <w:pPr>
        <w:spacing w:before="240"/>
      </w:pPr>
      <w:r>
        <w:t xml:space="preserve">The New </w:t>
      </w:r>
      <w:r w:rsidRPr="00BC5F64">
        <w:t>Lahontan</w:t>
      </w:r>
      <w:r>
        <w:t xml:space="preserve"> PPA price is assumed to be identical to the recently negotiated </w:t>
      </w:r>
      <w:r w:rsidRPr="00BC5F64">
        <w:t>Old Lahontan</w:t>
      </w:r>
      <w:r>
        <w:t xml:space="preserve"> resource.</w:t>
      </w:r>
      <w:r w:rsidR="00A25320">
        <w:t xml:space="preserve"> </w:t>
      </w:r>
      <w:r>
        <w:t xml:space="preserve"> Also, we assumed a 10% premium for the </w:t>
      </w:r>
      <w:r w:rsidRPr="00BC5F64">
        <w:t>Horse Butte Wind Phase II</w:t>
      </w:r>
      <w:r>
        <w:t xml:space="preserve"> PPA price over the </w:t>
      </w:r>
      <w:r w:rsidRPr="00BC5F64">
        <w:t>Horse Butte Wind Phase I</w:t>
      </w:r>
      <w:r>
        <w:t xml:space="preserve"> price.</w:t>
      </w:r>
    </w:p>
    <w:p w14:paraId="714E74F3" w14:textId="38E66A68" w:rsidR="004A568D" w:rsidRPr="00874A11" w:rsidRDefault="004A568D" w:rsidP="00185F14">
      <w:pPr>
        <w:spacing w:before="240"/>
      </w:pPr>
      <w:r w:rsidRPr="00874A11">
        <w:t>The market price for energy rises or falls, primarily as the cost of natural gas changes.</w:t>
      </w:r>
      <w:r w:rsidR="00A25320">
        <w:t xml:space="preserve"> </w:t>
      </w:r>
      <w:r w:rsidRPr="00874A11">
        <w:t xml:space="preserve"> This is due to natural gas </w:t>
      </w:r>
      <w:r w:rsidR="009E3DFF">
        <w:t>typically being</w:t>
      </w:r>
      <w:r w:rsidRPr="00874A11">
        <w:t xml:space="preserve"> the marginal fuel for electricity generation</w:t>
      </w:r>
      <w:r w:rsidR="004C0B6C">
        <w:t>; therefore,</w:t>
      </w:r>
      <w:r w:rsidRPr="00874A11">
        <w:t xml:space="preserve"> natural gas power plants typically establish the market-clearing price of energy generation.</w:t>
      </w:r>
      <w:r w:rsidR="00A25320">
        <w:t xml:space="preserve"> </w:t>
      </w:r>
      <w:r w:rsidR="00175D3D" w:rsidRPr="00874A11">
        <w:t xml:space="preserve"> We used the UAMPs market price forecast for the NV Energy (NVE) area for the Base scenario and developed two additional sensitivities, a Low and a High forecast for the planning period</w:t>
      </w:r>
      <w:r w:rsidR="004C0B6C">
        <w:t>,</w:t>
      </w:r>
      <w:r w:rsidR="00175D3D" w:rsidRPr="00874A11">
        <w:t xml:space="preserve"> as shown in Figure </w:t>
      </w:r>
      <w:r w:rsidR="00502CEA">
        <w:t>7</w:t>
      </w:r>
      <w:r w:rsidR="00502CEA" w:rsidRPr="00874A11">
        <w:t xml:space="preserve"> </w:t>
      </w:r>
      <w:r w:rsidR="00175D3D" w:rsidRPr="00874A11">
        <w:t>below.</w:t>
      </w:r>
    </w:p>
    <w:p w14:paraId="78CC1F82" w14:textId="70D39149" w:rsidR="00175D3D" w:rsidRPr="00874A11" w:rsidRDefault="00175D3D" w:rsidP="00154E06">
      <w:pPr>
        <w:keepNext/>
        <w:spacing w:before="240"/>
        <w:jc w:val="center"/>
        <w:rPr>
          <w:b/>
          <w:bCs/>
          <w:sz w:val="23"/>
          <w:szCs w:val="23"/>
        </w:rPr>
      </w:pPr>
      <w:r w:rsidRPr="00874A11">
        <w:rPr>
          <w:b/>
          <w:bCs/>
          <w:sz w:val="23"/>
          <w:szCs w:val="23"/>
        </w:rPr>
        <w:lastRenderedPageBreak/>
        <w:t xml:space="preserve">Figure </w:t>
      </w:r>
      <w:r w:rsidR="00502CEA">
        <w:rPr>
          <w:b/>
          <w:bCs/>
          <w:sz w:val="23"/>
          <w:szCs w:val="23"/>
        </w:rPr>
        <w:t>7</w:t>
      </w:r>
      <w:r w:rsidRPr="00874A11">
        <w:rPr>
          <w:b/>
          <w:bCs/>
          <w:sz w:val="23"/>
          <w:szCs w:val="23"/>
        </w:rPr>
        <w:t>: Base, Low and High NVE Market Price Forecast ($/MWh): 2024-2040</w:t>
      </w:r>
    </w:p>
    <w:p w14:paraId="23423B0A" w14:textId="5BE16BAE" w:rsidR="00175D3D" w:rsidRDefault="00175D3D" w:rsidP="00B52E15">
      <w:pPr>
        <w:spacing w:before="120"/>
        <w:rPr>
          <w:sz w:val="22"/>
          <w:szCs w:val="22"/>
        </w:rPr>
      </w:pPr>
      <w:r>
        <w:rPr>
          <w:noProof/>
        </w:rPr>
        <w:drawing>
          <wp:inline distT="0" distB="0" distL="0" distR="0" wp14:anchorId="71ECE333" wp14:editId="601E8FC9">
            <wp:extent cx="5943600" cy="3108325"/>
            <wp:effectExtent l="0" t="0" r="0" b="3175"/>
            <wp:docPr id="1805837095" name="Picture 1805837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837095" name=""/>
                    <pic:cNvPicPr/>
                  </pic:nvPicPr>
                  <pic:blipFill>
                    <a:blip r:embed="rId38"/>
                    <a:stretch>
                      <a:fillRect/>
                    </a:stretch>
                  </pic:blipFill>
                  <pic:spPr>
                    <a:xfrm>
                      <a:off x="0" y="0"/>
                      <a:ext cx="5943600" cy="3108325"/>
                    </a:xfrm>
                    <a:prstGeom prst="rect">
                      <a:avLst/>
                    </a:prstGeom>
                  </pic:spPr>
                </pic:pic>
              </a:graphicData>
            </a:graphic>
          </wp:inline>
        </w:drawing>
      </w:r>
    </w:p>
    <w:p w14:paraId="2FCE0F35" w14:textId="0D7CE2A9" w:rsidR="004A568D" w:rsidRDefault="009E3DFF" w:rsidP="00185F14">
      <w:pPr>
        <w:spacing w:before="240"/>
      </w:pPr>
      <w:r>
        <w:rPr>
          <w:sz w:val="22"/>
          <w:szCs w:val="22"/>
        </w:rPr>
        <w:t>H</w:t>
      </w:r>
      <w:r w:rsidR="00185F14" w:rsidRPr="00C855C7">
        <w:rPr>
          <w:sz w:val="22"/>
          <w:szCs w:val="22"/>
        </w:rPr>
        <w:t xml:space="preserve">ydro conditions have </w:t>
      </w:r>
      <w:r w:rsidR="004C0B6C">
        <w:rPr>
          <w:sz w:val="22"/>
          <w:szCs w:val="22"/>
        </w:rPr>
        <w:t xml:space="preserve">a </w:t>
      </w:r>
      <w:r w:rsidR="00185F14" w:rsidRPr="00C855C7">
        <w:rPr>
          <w:sz w:val="22"/>
          <w:szCs w:val="22"/>
        </w:rPr>
        <w:t xml:space="preserve">considerable impact on the </w:t>
      </w:r>
      <w:r w:rsidR="00185F14">
        <w:t>District’s hydro generation portfolio</w:t>
      </w:r>
      <w:r w:rsidR="004C0B6C">
        <w:t>,</w:t>
      </w:r>
      <w:r w:rsidR="00185F14">
        <w:t xml:space="preserve"> </w:t>
      </w:r>
      <w:r w:rsidR="004C0B6C">
        <w:t>including</w:t>
      </w:r>
      <w:r w:rsidR="00185F14">
        <w:t xml:space="preserve"> Old and New </w:t>
      </w:r>
      <w:proofErr w:type="spellStart"/>
      <w:r w:rsidR="00185F14">
        <w:t>Lahanton</w:t>
      </w:r>
      <w:proofErr w:type="spellEnd"/>
      <w:r w:rsidR="00185F14">
        <w:t>, Stampede, CVP</w:t>
      </w:r>
      <w:r w:rsidR="004C0B6C">
        <w:t>,</w:t>
      </w:r>
      <w:r w:rsidR="00185F14">
        <w:t xml:space="preserve"> and </w:t>
      </w:r>
      <w:r w:rsidR="004C0B6C">
        <w:t>26-Foot</w:t>
      </w:r>
      <w:r w:rsidR="00185F14">
        <w:t xml:space="preserve"> Drop hydro units. </w:t>
      </w:r>
      <w:r w:rsidR="00A25320">
        <w:t xml:space="preserve"> </w:t>
      </w:r>
      <w:r w:rsidR="00185F14" w:rsidRPr="00185F14">
        <w:t xml:space="preserve">Flynn RCI </w:t>
      </w:r>
      <w:r w:rsidR="00185F14">
        <w:t>used d</w:t>
      </w:r>
      <w:r w:rsidR="00185F14" w:rsidRPr="00185F14">
        <w:t xml:space="preserve">ata for Northern CA hydro </w:t>
      </w:r>
      <w:r w:rsidR="00185F14">
        <w:t xml:space="preserve">generation </w:t>
      </w:r>
      <w:r w:rsidR="00185F14" w:rsidRPr="00185F14">
        <w:t>for the last 104 years- 1920-2023</w:t>
      </w:r>
      <w:r w:rsidR="00185F14">
        <w:t xml:space="preserve"> to develop distributions of dry, median</w:t>
      </w:r>
      <w:r w:rsidR="004C0B6C">
        <w:t>,</w:t>
      </w:r>
      <w:r w:rsidR="00185F14">
        <w:t xml:space="preserve"> and wet hydro conditions.</w:t>
      </w:r>
      <w:r w:rsidR="00A25320">
        <w:t xml:space="preserve"> </w:t>
      </w:r>
      <w:r w:rsidR="00185F14">
        <w:t xml:space="preserve"> The probabilities of occurrence of these hydro conditions </w:t>
      </w:r>
      <w:r w:rsidR="004C0B6C">
        <w:t>were</w:t>
      </w:r>
      <w:r w:rsidR="00185F14">
        <w:t xml:space="preserve"> used to randomly assign them to the planning period of 2024-2040 as shown in Table 4 below.</w:t>
      </w:r>
    </w:p>
    <w:p w14:paraId="31FBCD82" w14:textId="77777777" w:rsidR="00033008" w:rsidRDefault="00033008" w:rsidP="00185F14">
      <w:pPr>
        <w:jc w:val="center"/>
        <w:rPr>
          <w:b/>
          <w:bCs/>
        </w:rPr>
      </w:pPr>
    </w:p>
    <w:p w14:paraId="4D28080A" w14:textId="4A36C3A1" w:rsidR="00185F14" w:rsidRDefault="00185F14" w:rsidP="00B52E15">
      <w:pPr>
        <w:keepNext/>
        <w:spacing w:after="120"/>
        <w:jc w:val="center"/>
        <w:rPr>
          <w:b/>
          <w:bCs/>
        </w:rPr>
      </w:pPr>
      <w:r w:rsidRPr="00C855C7">
        <w:rPr>
          <w:b/>
          <w:bCs/>
        </w:rPr>
        <w:lastRenderedPageBreak/>
        <w:t xml:space="preserve">Table </w:t>
      </w:r>
      <w:r>
        <w:rPr>
          <w:b/>
          <w:bCs/>
        </w:rPr>
        <w:t>4</w:t>
      </w:r>
      <w:r w:rsidRPr="00C855C7">
        <w:rPr>
          <w:b/>
          <w:bCs/>
        </w:rPr>
        <w:t xml:space="preserve">: Assumed </w:t>
      </w:r>
      <w:r w:rsidR="004A568D" w:rsidRPr="004A568D">
        <w:rPr>
          <w:b/>
          <w:bCs/>
        </w:rPr>
        <w:t>Hydro Condition in Base Scenario</w:t>
      </w:r>
    </w:p>
    <w:tbl>
      <w:tblPr>
        <w:tblW w:w="23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5"/>
        <w:gridCol w:w="1155"/>
      </w:tblGrid>
      <w:tr w:rsidR="00874A11" w:rsidRPr="00874A11" w14:paraId="1A4090A4" w14:textId="77777777" w:rsidTr="00874A11">
        <w:trPr>
          <w:trHeight w:val="1080"/>
          <w:jc w:val="center"/>
        </w:trPr>
        <w:tc>
          <w:tcPr>
            <w:tcW w:w="1155" w:type="dxa"/>
            <w:shd w:val="clear" w:color="auto" w:fill="auto"/>
            <w:noWrap/>
            <w:vAlign w:val="center"/>
            <w:hideMark/>
          </w:tcPr>
          <w:p w14:paraId="1499B694" w14:textId="77777777" w:rsidR="004A568D" w:rsidRPr="00874A11" w:rsidRDefault="004A568D" w:rsidP="00154E06">
            <w:pPr>
              <w:keepNext/>
              <w:rPr>
                <w:rFonts w:ascii="Calibri" w:hAnsi="Calibri" w:cs="Calibri"/>
                <w:b/>
                <w:bCs/>
                <w:color w:val="000000"/>
                <w:sz w:val="22"/>
                <w:szCs w:val="22"/>
              </w:rPr>
            </w:pPr>
            <w:r w:rsidRPr="00874A11">
              <w:rPr>
                <w:rFonts w:ascii="Calibri" w:hAnsi="Calibri" w:cs="Calibri"/>
                <w:b/>
                <w:bCs/>
                <w:color w:val="000000"/>
                <w:sz w:val="22"/>
                <w:szCs w:val="22"/>
              </w:rPr>
              <w:t>Year</w:t>
            </w:r>
          </w:p>
        </w:tc>
        <w:tc>
          <w:tcPr>
            <w:tcW w:w="1155" w:type="dxa"/>
            <w:shd w:val="clear" w:color="auto" w:fill="auto"/>
            <w:vAlign w:val="center"/>
            <w:hideMark/>
          </w:tcPr>
          <w:p w14:paraId="67FE1A37" w14:textId="77777777" w:rsidR="004A568D" w:rsidRPr="00874A11" w:rsidRDefault="004A568D" w:rsidP="00154E06">
            <w:pPr>
              <w:keepNext/>
              <w:rPr>
                <w:rFonts w:ascii="Calibri" w:hAnsi="Calibri" w:cs="Calibri"/>
                <w:b/>
                <w:bCs/>
                <w:color w:val="000000"/>
                <w:sz w:val="22"/>
                <w:szCs w:val="22"/>
              </w:rPr>
            </w:pPr>
            <w:r w:rsidRPr="00874A11">
              <w:rPr>
                <w:rFonts w:ascii="Calibri" w:hAnsi="Calibri" w:cs="Calibri"/>
                <w:b/>
                <w:bCs/>
                <w:color w:val="000000"/>
                <w:sz w:val="22"/>
                <w:szCs w:val="22"/>
              </w:rPr>
              <w:t>Hydro Condition in Base Scenario</w:t>
            </w:r>
          </w:p>
        </w:tc>
      </w:tr>
      <w:tr w:rsidR="00874A11" w:rsidRPr="00874A11" w14:paraId="61527F27" w14:textId="77777777" w:rsidTr="00874A11">
        <w:trPr>
          <w:trHeight w:val="254"/>
          <w:jc w:val="center"/>
        </w:trPr>
        <w:tc>
          <w:tcPr>
            <w:tcW w:w="1155" w:type="dxa"/>
            <w:shd w:val="clear" w:color="auto" w:fill="auto"/>
            <w:noWrap/>
            <w:vAlign w:val="center"/>
            <w:hideMark/>
          </w:tcPr>
          <w:p w14:paraId="39F9A331" w14:textId="77777777" w:rsidR="004A568D" w:rsidRPr="00874A11" w:rsidRDefault="004A568D" w:rsidP="00154E06">
            <w:pPr>
              <w:keepNext/>
              <w:jc w:val="center"/>
              <w:rPr>
                <w:rFonts w:ascii="Calibri" w:hAnsi="Calibri" w:cs="Calibri"/>
                <w:color w:val="000000"/>
                <w:sz w:val="22"/>
                <w:szCs w:val="22"/>
              </w:rPr>
            </w:pPr>
            <w:r w:rsidRPr="00874A11">
              <w:rPr>
                <w:rFonts w:ascii="Calibri" w:hAnsi="Calibri" w:cs="Calibri"/>
                <w:color w:val="000000"/>
                <w:sz w:val="22"/>
                <w:szCs w:val="22"/>
              </w:rPr>
              <w:t>2024</w:t>
            </w:r>
          </w:p>
        </w:tc>
        <w:tc>
          <w:tcPr>
            <w:tcW w:w="1155" w:type="dxa"/>
            <w:shd w:val="clear" w:color="auto" w:fill="auto"/>
            <w:noWrap/>
            <w:vAlign w:val="center"/>
            <w:hideMark/>
          </w:tcPr>
          <w:p w14:paraId="38F670CF" w14:textId="77777777" w:rsidR="004A568D" w:rsidRPr="00874A11" w:rsidRDefault="004A568D" w:rsidP="00154E06">
            <w:pPr>
              <w:keepNext/>
              <w:rPr>
                <w:rFonts w:ascii="Calibri" w:hAnsi="Calibri" w:cs="Calibri"/>
                <w:color w:val="000000"/>
                <w:sz w:val="22"/>
                <w:szCs w:val="22"/>
              </w:rPr>
            </w:pPr>
            <w:r w:rsidRPr="00874A11">
              <w:rPr>
                <w:rFonts w:ascii="Calibri" w:hAnsi="Calibri" w:cs="Calibri"/>
                <w:color w:val="000000"/>
                <w:sz w:val="22"/>
                <w:szCs w:val="22"/>
              </w:rPr>
              <w:t>Median</w:t>
            </w:r>
          </w:p>
        </w:tc>
      </w:tr>
      <w:tr w:rsidR="00874A11" w:rsidRPr="00874A11" w14:paraId="5E956BCF" w14:textId="77777777" w:rsidTr="00874A11">
        <w:trPr>
          <w:trHeight w:val="254"/>
          <w:jc w:val="center"/>
        </w:trPr>
        <w:tc>
          <w:tcPr>
            <w:tcW w:w="1155" w:type="dxa"/>
            <w:shd w:val="clear" w:color="auto" w:fill="auto"/>
            <w:noWrap/>
            <w:vAlign w:val="center"/>
            <w:hideMark/>
          </w:tcPr>
          <w:p w14:paraId="34E4DFB9" w14:textId="77777777" w:rsidR="004A568D" w:rsidRPr="00874A11" w:rsidRDefault="004A568D" w:rsidP="00154E06">
            <w:pPr>
              <w:keepNext/>
              <w:jc w:val="center"/>
              <w:rPr>
                <w:rFonts w:ascii="Calibri" w:hAnsi="Calibri" w:cs="Calibri"/>
                <w:color w:val="000000"/>
                <w:sz w:val="22"/>
                <w:szCs w:val="22"/>
              </w:rPr>
            </w:pPr>
            <w:r w:rsidRPr="00874A11">
              <w:rPr>
                <w:rFonts w:ascii="Calibri" w:hAnsi="Calibri" w:cs="Calibri"/>
                <w:color w:val="000000"/>
                <w:sz w:val="22"/>
                <w:szCs w:val="22"/>
              </w:rPr>
              <w:t>2025</w:t>
            </w:r>
          </w:p>
        </w:tc>
        <w:tc>
          <w:tcPr>
            <w:tcW w:w="1155" w:type="dxa"/>
            <w:shd w:val="clear" w:color="auto" w:fill="auto"/>
            <w:noWrap/>
            <w:vAlign w:val="center"/>
            <w:hideMark/>
          </w:tcPr>
          <w:p w14:paraId="4B678CE8" w14:textId="77777777" w:rsidR="004A568D" w:rsidRPr="00874A11" w:rsidRDefault="004A568D" w:rsidP="00154E06">
            <w:pPr>
              <w:keepNext/>
              <w:rPr>
                <w:rFonts w:ascii="Calibri" w:hAnsi="Calibri" w:cs="Calibri"/>
                <w:color w:val="000000"/>
                <w:sz w:val="22"/>
                <w:szCs w:val="22"/>
              </w:rPr>
            </w:pPr>
            <w:r w:rsidRPr="00874A11">
              <w:rPr>
                <w:rFonts w:ascii="Calibri" w:hAnsi="Calibri" w:cs="Calibri"/>
                <w:color w:val="000000"/>
                <w:sz w:val="22"/>
                <w:szCs w:val="22"/>
              </w:rPr>
              <w:t>Dry</w:t>
            </w:r>
          </w:p>
        </w:tc>
      </w:tr>
      <w:tr w:rsidR="00874A11" w:rsidRPr="00874A11" w14:paraId="1C1DFF7B" w14:textId="77777777" w:rsidTr="00874A11">
        <w:trPr>
          <w:trHeight w:val="254"/>
          <w:jc w:val="center"/>
        </w:trPr>
        <w:tc>
          <w:tcPr>
            <w:tcW w:w="1155" w:type="dxa"/>
            <w:shd w:val="clear" w:color="auto" w:fill="auto"/>
            <w:noWrap/>
            <w:vAlign w:val="center"/>
            <w:hideMark/>
          </w:tcPr>
          <w:p w14:paraId="2555C1A3" w14:textId="77777777" w:rsidR="004A568D" w:rsidRPr="00874A11" w:rsidRDefault="004A568D" w:rsidP="00154E06">
            <w:pPr>
              <w:keepNext/>
              <w:jc w:val="center"/>
              <w:rPr>
                <w:rFonts w:ascii="Calibri" w:hAnsi="Calibri" w:cs="Calibri"/>
                <w:color w:val="000000"/>
                <w:sz w:val="22"/>
                <w:szCs w:val="22"/>
              </w:rPr>
            </w:pPr>
            <w:r w:rsidRPr="00874A11">
              <w:rPr>
                <w:rFonts w:ascii="Calibri" w:hAnsi="Calibri" w:cs="Calibri"/>
                <w:color w:val="000000"/>
                <w:sz w:val="22"/>
                <w:szCs w:val="22"/>
              </w:rPr>
              <w:t>2026</w:t>
            </w:r>
          </w:p>
        </w:tc>
        <w:tc>
          <w:tcPr>
            <w:tcW w:w="1155" w:type="dxa"/>
            <w:shd w:val="clear" w:color="auto" w:fill="auto"/>
            <w:noWrap/>
            <w:vAlign w:val="center"/>
            <w:hideMark/>
          </w:tcPr>
          <w:p w14:paraId="65F25118" w14:textId="77777777" w:rsidR="004A568D" w:rsidRPr="00874A11" w:rsidRDefault="004A568D" w:rsidP="00154E06">
            <w:pPr>
              <w:keepNext/>
              <w:rPr>
                <w:rFonts w:ascii="Calibri" w:hAnsi="Calibri" w:cs="Calibri"/>
                <w:color w:val="000000"/>
                <w:sz w:val="22"/>
                <w:szCs w:val="22"/>
              </w:rPr>
            </w:pPr>
            <w:r w:rsidRPr="00874A11">
              <w:rPr>
                <w:rFonts w:ascii="Calibri" w:hAnsi="Calibri" w:cs="Calibri"/>
                <w:color w:val="000000"/>
                <w:sz w:val="22"/>
                <w:szCs w:val="22"/>
              </w:rPr>
              <w:t>Median</w:t>
            </w:r>
          </w:p>
        </w:tc>
      </w:tr>
      <w:tr w:rsidR="00874A11" w:rsidRPr="00874A11" w14:paraId="2D44C7C6" w14:textId="77777777" w:rsidTr="00874A11">
        <w:trPr>
          <w:trHeight w:val="254"/>
          <w:jc w:val="center"/>
        </w:trPr>
        <w:tc>
          <w:tcPr>
            <w:tcW w:w="1155" w:type="dxa"/>
            <w:shd w:val="clear" w:color="auto" w:fill="auto"/>
            <w:noWrap/>
            <w:vAlign w:val="center"/>
            <w:hideMark/>
          </w:tcPr>
          <w:p w14:paraId="45DECB87" w14:textId="77777777" w:rsidR="004A568D" w:rsidRPr="00874A11" w:rsidRDefault="004A568D" w:rsidP="00154E06">
            <w:pPr>
              <w:keepNext/>
              <w:jc w:val="center"/>
              <w:rPr>
                <w:rFonts w:ascii="Calibri" w:hAnsi="Calibri" w:cs="Calibri"/>
                <w:color w:val="000000"/>
                <w:sz w:val="22"/>
                <w:szCs w:val="22"/>
              </w:rPr>
            </w:pPr>
            <w:r w:rsidRPr="00874A11">
              <w:rPr>
                <w:rFonts w:ascii="Calibri" w:hAnsi="Calibri" w:cs="Calibri"/>
                <w:color w:val="000000"/>
                <w:sz w:val="22"/>
                <w:szCs w:val="22"/>
              </w:rPr>
              <w:t>2027</w:t>
            </w:r>
          </w:p>
        </w:tc>
        <w:tc>
          <w:tcPr>
            <w:tcW w:w="1155" w:type="dxa"/>
            <w:shd w:val="clear" w:color="auto" w:fill="auto"/>
            <w:noWrap/>
            <w:vAlign w:val="center"/>
            <w:hideMark/>
          </w:tcPr>
          <w:p w14:paraId="0F32DC94" w14:textId="77777777" w:rsidR="004A568D" w:rsidRPr="00874A11" w:rsidRDefault="004A568D" w:rsidP="00154E06">
            <w:pPr>
              <w:keepNext/>
              <w:rPr>
                <w:rFonts w:ascii="Calibri" w:hAnsi="Calibri" w:cs="Calibri"/>
                <w:color w:val="000000"/>
                <w:sz w:val="22"/>
                <w:szCs w:val="22"/>
              </w:rPr>
            </w:pPr>
            <w:r w:rsidRPr="00874A11">
              <w:rPr>
                <w:rFonts w:ascii="Calibri" w:hAnsi="Calibri" w:cs="Calibri"/>
                <w:color w:val="000000"/>
                <w:sz w:val="22"/>
                <w:szCs w:val="22"/>
              </w:rPr>
              <w:t>Wet</w:t>
            </w:r>
          </w:p>
        </w:tc>
      </w:tr>
      <w:tr w:rsidR="00874A11" w:rsidRPr="00874A11" w14:paraId="1A34CF03" w14:textId="77777777" w:rsidTr="00874A11">
        <w:trPr>
          <w:trHeight w:val="254"/>
          <w:jc w:val="center"/>
        </w:trPr>
        <w:tc>
          <w:tcPr>
            <w:tcW w:w="1155" w:type="dxa"/>
            <w:shd w:val="clear" w:color="auto" w:fill="auto"/>
            <w:noWrap/>
            <w:vAlign w:val="center"/>
            <w:hideMark/>
          </w:tcPr>
          <w:p w14:paraId="42B0BEA3" w14:textId="77777777" w:rsidR="004A568D" w:rsidRPr="00874A11" w:rsidRDefault="004A568D" w:rsidP="00154E06">
            <w:pPr>
              <w:keepNext/>
              <w:jc w:val="center"/>
              <w:rPr>
                <w:rFonts w:ascii="Calibri" w:hAnsi="Calibri" w:cs="Calibri"/>
                <w:color w:val="000000"/>
                <w:sz w:val="22"/>
                <w:szCs w:val="22"/>
              </w:rPr>
            </w:pPr>
            <w:r w:rsidRPr="00874A11">
              <w:rPr>
                <w:rFonts w:ascii="Calibri" w:hAnsi="Calibri" w:cs="Calibri"/>
                <w:color w:val="000000"/>
                <w:sz w:val="22"/>
                <w:szCs w:val="22"/>
              </w:rPr>
              <w:t>2028</w:t>
            </w:r>
          </w:p>
        </w:tc>
        <w:tc>
          <w:tcPr>
            <w:tcW w:w="1155" w:type="dxa"/>
            <w:shd w:val="clear" w:color="auto" w:fill="auto"/>
            <w:noWrap/>
            <w:vAlign w:val="center"/>
            <w:hideMark/>
          </w:tcPr>
          <w:p w14:paraId="118E468A" w14:textId="77777777" w:rsidR="004A568D" w:rsidRPr="00874A11" w:rsidRDefault="004A568D" w:rsidP="00154E06">
            <w:pPr>
              <w:keepNext/>
              <w:rPr>
                <w:rFonts w:ascii="Calibri" w:hAnsi="Calibri" w:cs="Calibri"/>
                <w:color w:val="000000"/>
                <w:sz w:val="22"/>
                <w:szCs w:val="22"/>
              </w:rPr>
            </w:pPr>
            <w:r w:rsidRPr="00874A11">
              <w:rPr>
                <w:rFonts w:ascii="Calibri" w:hAnsi="Calibri" w:cs="Calibri"/>
                <w:color w:val="000000"/>
                <w:sz w:val="22"/>
                <w:szCs w:val="22"/>
              </w:rPr>
              <w:t>Wet</w:t>
            </w:r>
          </w:p>
        </w:tc>
      </w:tr>
      <w:tr w:rsidR="00874A11" w:rsidRPr="00874A11" w14:paraId="6E98A819" w14:textId="77777777" w:rsidTr="00874A11">
        <w:trPr>
          <w:trHeight w:val="254"/>
          <w:jc w:val="center"/>
        </w:trPr>
        <w:tc>
          <w:tcPr>
            <w:tcW w:w="1155" w:type="dxa"/>
            <w:shd w:val="clear" w:color="auto" w:fill="auto"/>
            <w:noWrap/>
            <w:vAlign w:val="center"/>
            <w:hideMark/>
          </w:tcPr>
          <w:p w14:paraId="76F66660" w14:textId="77777777" w:rsidR="004A568D" w:rsidRPr="00874A11" w:rsidRDefault="004A568D" w:rsidP="00154E06">
            <w:pPr>
              <w:keepNext/>
              <w:jc w:val="center"/>
              <w:rPr>
                <w:rFonts w:ascii="Calibri" w:hAnsi="Calibri" w:cs="Calibri"/>
                <w:color w:val="000000"/>
                <w:sz w:val="22"/>
                <w:szCs w:val="22"/>
              </w:rPr>
            </w:pPr>
            <w:r w:rsidRPr="00874A11">
              <w:rPr>
                <w:rFonts w:ascii="Calibri" w:hAnsi="Calibri" w:cs="Calibri"/>
                <w:color w:val="000000"/>
                <w:sz w:val="22"/>
                <w:szCs w:val="22"/>
              </w:rPr>
              <w:t>2029</w:t>
            </w:r>
          </w:p>
        </w:tc>
        <w:tc>
          <w:tcPr>
            <w:tcW w:w="1155" w:type="dxa"/>
            <w:shd w:val="clear" w:color="auto" w:fill="auto"/>
            <w:noWrap/>
            <w:vAlign w:val="center"/>
            <w:hideMark/>
          </w:tcPr>
          <w:p w14:paraId="65C26B3B" w14:textId="77777777" w:rsidR="004A568D" w:rsidRPr="00874A11" w:rsidRDefault="004A568D" w:rsidP="00154E06">
            <w:pPr>
              <w:keepNext/>
              <w:rPr>
                <w:rFonts w:ascii="Calibri" w:hAnsi="Calibri" w:cs="Calibri"/>
                <w:color w:val="000000"/>
                <w:sz w:val="22"/>
                <w:szCs w:val="22"/>
              </w:rPr>
            </w:pPr>
            <w:r w:rsidRPr="00874A11">
              <w:rPr>
                <w:rFonts w:ascii="Calibri" w:hAnsi="Calibri" w:cs="Calibri"/>
                <w:color w:val="000000"/>
                <w:sz w:val="22"/>
                <w:szCs w:val="22"/>
              </w:rPr>
              <w:t>Median</w:t>
            </w:r>
          </w:p>
        </w:tc>
      </w:tr>
      <w:tr w:rsidR="00874A11" w:rsidRPr="00874A11" w14:paraId="7A5C5D85" w14:textId="77777777" w:rsidTr="00874A11">
        <w:trPr>
          <w:trHeight w:val="254"/>
          <w:jc w:val="center"/>
        </w:trPr>
        <w:tc>
          <w:tcPr>
            <w:tcW w:w="1155" w:type="dxa"/>
            <w:shd w:val="clear" w:color="auto" w:fill="auto"/>
            <w:noWrap/>
            <w:vAlign w:val="center"/>
            <w:hideMark/>
          </w:tcPr>
          <w:p w14:paraId="7175B5F9" w14:textId="77777777" w:rsidR="004A568D" w:rsidRPr="00874A11" w:rsidRDefault="004A568D" w:rsidP="00154E06">
            <w:pPr>
              <w:keepNext/>
              <w:jc w:val="center"/>
              <w:rPr>
                <w:rFonts w:ascii="Calibri" w:hAnsi="Calibri" w:cs="Calibri"/>
                <w:color w:val="000000"/>
                <w:sz w:val="22"/>
                <w:szCs w:val="22"/>
              </w:rPr>
            </w:pPr>
            <w:r w:rsidRPr="00874A11">
              <w:rPr>
                <w:rFonts w:ascii="Calibri" w:hAnsi="Calibri" w:cs="Calibri"/>
                <w:color w:val="000000"/>
                <w:sz w:val="22"/>
                <w:szCs w:val="22"/>
              </w:rPr>
              <w:t>2030</w:t>
            </w:r>
          </w:p>
        </w:tc>
        <w:tc>
          <w:tcPr>
            <w:tcW w:w="1155" w:type="dxa"/>
            <w:shd w:val="clear" w:color="auto" w:fill="auto"/>
            <w:noWrap/>
            <w:vAlign w:val="center"/>
            <w:hideMark/>
          </w:tcPr>
          <w:p w14:paraId="4BD30B11" w14:textId="77777777" w:rsidR="004A568D" w:rsidRPr="00874A11" w:rsidRDefault="004A568D" w:rsidP="00154E06">
            <w:pPr>
              <w:keepNext/>
              <w:rPr>
                <w:rFonts w:ascii="Calibri" w:hAnsi="Calibri" w:cs="Calibri"/>
                <w:color w:val="000000"/>
                <w:sz w:val="22"/>
                <w:szCs w:val="22"/>
              </w:rPr>
            </w:pPr>
            <w:r w:rsidRPr="00874A11">
              <w:rPr>
                <w:rFonts w:ascii="Calibri" w:hAnsi="Calibri" w:cs="Calibri"/>
                <w:color w:val="000000"/>
                <w:sz w:val="22"/>
                <w:szCs w:val="22"/>
              </w:rPr>
              <w:t>Wet</w:t>
            </w:r>
          </w:p>
        </w:tc>
      </w:tr>
      <w:tr w:rsidR="00874A11" w:rsidRPr="00874A11" w14:paraId="1168C025" w14:textId="77777777" w:rsidTr="00874A11">
        <w:trPr>
          <w:trHeight w:val="254"/>
          <w:jc w:val="center"/>
        </w:trPr>
        <w:tc>
          <w:tcPr>
            <w:tcW w:w="1155" w:type="dxa"/>
            <w:shd w:val="clear" w:color="auto" w:fill="auto"/>
            <w:noWrap/>
            <w:vAlign w:val="center"/>
            <w:hideMark/>
          </w:tcPr>
          <w:p w14:paraId="447CA90F" w14:textId="77777777" w:rsidR="004A568D" w:rsidRPr="00874A11" w:rsidRDefault="004A568D" w:rsidP="00154E06">
            <w:pPr>
              <w:keepNext/>
              <w:jc w:val="center"/>
              <w:rPr>
                <w:rFonts w:ascii="Calibri" w:hAnsi="Calibri" w:cs="Calibri"/>
                <w:color w:val="000000"/>
                <w:sz w:val="22"/>
                <w:szCs w:val="22"/>
              </w:rPr>
            </w:pPr>
            <w:r w:rsidRPr="00874A11">
              <w:rPr>
                <w:rFonts w:ascii="Calibri" w:hAnsi="Calibri" w:cs="Calibri"/>
                <w:color w:val="000000"/>
                <w:sz w:val="22"/>
                <w:szCs w:val="22"/>
              </w:rPr>
              <w:t>2031</w:t>
            </w:r>
          </w:p>
        </w:tc>
        <w:tc>
          <w:tcPr>
            <w:tcW w:w="1155" w:type="dxa"/>
            <w:shd w:val="clear" w:color="auto" w:fill="auto"/>
            <w:noWrap/>
            <w:vAlign w:val="center"/>
            <w:hideMark/>
          </w:tcPr>
          <w:p w14:paraId="7D6E7418" w14:textId="77777777" w:rsidR="004A568D" w:rsidRPr="00874A11" w:rsidRDefault="004A568D" w:rsidP="00154E06">
            <w:pPr>
              <w:keepNext/>
              <w:rPr>
                <w:rFonts w:ascii="Calibri" w:hAnsi="Calibri" w:cs="Calibri"/>
                <w:color w:val="000000"/>
                <w:sz w:val="22"/>
                <w:szCs w:val="22"/>
              </w:rPr>
            </w:pPr>
            <w:r w:rsidRPr="00874A11">
              <w:rPr>
                <w:rFonts w:ascii="Calibri" w:hAnsi="Calibri" w:cs="Calibri"/>
                <w:color w:val="000000"/>
                <w:sz w:val="22"/>
                <w:szCs w:val="22"/>
              </w:rPr>
              <w:t>Wet</w:t>
            </w:r>
          </w:p>
        </w:tc>
      </w:tr>
      <w:tr w:rsidR="00874A11" w:rsidRPr="00874A11" w14:paraId="31B398DC" w14:textId="77777777" w:rsidTr="00874A11">
        <w:trPr>
          <w:trHeight w:val="254"/>
          <w:jc w:val="center"/>
        </w:trPr>
        <w:tc>
          <w:tcPr>
            <w:tcW w:w="1155" w:type="dxa"/>
            <w:shd w:val="clear" w:color="auto" w:fill="auto"/>
            <w:noWrap/>
            <w:vAlign w:val="center"/>
            <w:hideMark/>
          </w:tcPr>
          <w:p w14:paraId="7AA015FE" w14:textId="77777777" w:rsidR="004A568D" w:rsidRPr="00874A11" w:rsidRDefault="004A568D" w:rsidP="00154E06">
            <w:pPr>
              <w:keepNext/>
              <w:jc w:val="center"/>
              <w:rPr>
                <w:rFonts w:ascii="Calibri" w:hAnsi="Calibri" w:cs="Calibri"/>
                <w:color w:val="000000"/>
                <w:sz w:val="22"/>
                <w:szCs w:val="22"/>
              </w:rPr>
            </w:pPr>
            <w:r w:rsidRPr="00874A11">
              <w:rPr>
                <w:rFonts w:ascii="Calibri" w:hAnsi="Calibri" w:cs="Calibri"/>
                <w:color w:val="000000"/>
                <w:sz w:val="22"/>
                <w:szCs w:val="22"/>
              </w:rPr>
              <w:t>2032</w:t>
            </w:r>
          </w:p>
        </w:tc>
        <w:tc>
          <w:tcPr>
            <w:tcW w:w="1155" w:type="dxa"/>
            <w:shd w:val="clear" w:color="auto" w:fill="auto"/>
            <w:noWrap/>
            <w:vAlign w:val="center"/>
            <w:hideMark/>
          </w:tcPr>
          <w:p w14:paraId="6A78A735" w14:textId="77777777" w:rsidR="004A568D" w:rsidRPr="00874A11" w:rsidRDefault="004A568D" w:rsidP="00154E06">
            <w:pPr>
              <w:keepNext/>
              <w:rPr>
                <w:rFonts w:ascii="Calibri" w:hAnsi="Calibri" w:cs="Calibri"/>
                <w:color w:val="000000"/>
                <w:sz w:val="22"/>
                <w:szCs w:val="22"/>
              </w:rPr>
            </w:pPr>
            <w:r w:rsidRPr="00874A11">
              <w:rPr>
                <w:rFonts w:ascii="Calibri" w:hAnsi="Calibri" w:cs="Calibri"/>
                <w:color w:val="000000"/>
                <w:sz w:val="22"/>
                <w:szCs w:val="22"/>
              </w:rPr>
              <w:t>Dry</w:t>
            </w:r>
          </w:p>
        </w:tc>
      </w:tr>
      <w:tr w:rsidR="00874A11" w:rsidRPr="00874A11" w14:paraId="730AA826" w14:textId="77777777" w:rsidTr="00874A11">
        <w:trPr>
          <w:trHeight w:val="254"/>
          <w:jc w:val="center"/>
        </w:trPr>
        <w:tc>
          <w:tcPr>
            <w:tcW w:w="1155" w:type="dxa"/>
            <w:shd w:val="clear" w:color="auto" w:fill="auto"/>
            <w:noWrap/>
            <w:vAlign w:val="center"/>
            <w:hideMark/>
          </w:tcPr>
          <w:p w14:paraId="51FC0C62" w14:textId="77777777" w:rsidR="004A568D" w:rsidRPr="00874A11" w:rsidRDefault="004A568D" w:rsidP="00154E06">
            <w:pPr>
              <w:keepNext/>
              <w:jc w:val="center"/>
              <w:rPr>
                <w:rFonts w:ascii="Calibri" w:hAnsi="Calibri" w:cs="Calibri"/>
                <w:color w:val="000000"/>
                <w:sz w:val="22"/>
                <w:szCs w:val="22"/>
              </w:rPr>
            </w:pPr>
            <w:r w:rsidRPr="00874A11">
              <w:rPr>
                <w:rFonts w:ascii="Calibri" w:hAnsi="Calibri" w:cs="Calibri"/>
                <w:color w:val="000000"/>
                <w:sz w:val="22"/>
                <w:szCs w:val="22"/>
              </w:rPr>
              <w:t>2033</w:t>
            </w:r>
          </w:p>
        </w:tc>
        <w:tc>
          <w:tcPr>
            <w:tcW w:w="1155" w:type="dxa"/>
            <w:shd w:val="clear" w:color="auto" w:fill="auto"/>
            <w:noWrap/>
            <w:vAlign w:val="center"/>
            <w:hideMark/>
          </w:tcPr>
          <w:p w14:paraId="4D73EAFC" w14:textId="77777777" w:rsidR="004A568D" w:rsidRPr="00874A11" w:rsidRDefault="004A568D" w:rsidP="00154E06">
            <w:pPr>
              <w:keepNext/>
              <w:rPr>
                <w:rFonts w:ascii="Calibri" w:hAnsi="Calibri" w:cs="Calibri"/>
                <w:color w:val="000000"/>
                <w:sz w:val="22"/>
                <w:szCs w:val="22"/>
              </w:rPr>
            </w:pPr>
            <w:r w:rsidRPr="00874A11">
              <w:rPr>
                <w:rFonts w:ascii="Calibri" w:hAnsi="Calibri" w:cs="Calibri"/>
                <w:color w:val="000000"/>
                <w:sz w:val="22"/>
                <w:szCs w:val="22"/>
              </w:rPr>
              <w:t>Median</w:t>
            </w:r>
          </w:p>
        </w:tc>
      </w:tr>
      <w:tr w:rsidR="00874A11" w:rsidRPr="00874A11" w14:paraId="66643833" w14:textId="77777777" w:rsidTr="00874A11">
        <w:trPr>
          <w:trHeight w:val="254"/>
          <w:jc w:val="center"/>
        </w:trPr>
        <w:tc>
          <w:tcPr>
            <w:tcW w:w="1155" w:type="dxa"/>
            <w:shd w:val="clear" w:color="auto" w:fill="auto"/>
            <w:noWrap/>
            <w:vAlign w:val="center"/>
            <w:hideMark/>
          </w:tcPr>
          <w:p w14:paraId="7AE1BB81" w14:textId="77777777" w:rsidR="004A568D" w:rsidRPr="00874A11" w:rsidRDefault="004A568D" w:rsidP="00154E06">
            <w:pPr>
              <w:keepNext/>
              <w:jc w:val="center"/>
              <w:rPr>
                <w:rFonts w:ascii="Calibri" w:hAnsi="Calibri" w:cs="Calibri"/>
                <w:color w:val="000000"/>
                <w:sz w:val="22"/>
                <w:szCs w:val="22"/>
              </w:rPr>
            </w:pPr>
            <w:r w:rsidRPr="00874A11">
              <w:rPr>
                <w:rFonts w:ascii="Calibri" w:hAnsi="Calibri" w:cs="Calibri"/>
                <w:color w:val="000000"/>
                <w:sz w:val="22"/>
                <w:szCs w:val="22"/>
              </w:rPr>
              <w:t>2034</w:t>
            </w:r>
          </w:p>
        </w:tc>
        <w:tc>
          <w:tcPr>
            <w:tcW w:w="1155" w:type="dxa"/>
            <w:shd w:val="clear" w:color="auto" w:fill="auto"/>
            <w:noWrap/>
            <w:vAlign w:val="center"/>
            <w:hideMark/>
          </w:tcPr>
          <w:p w14:paraId="40E32DE3" w14:textId="77777777" w:rsidR="004A568D" w:rsidRPr="00874A11" w:rsidRDefault="004A568D" w:rsidP="00154E06">
            <w:pPr>
              <w:keepNext/>
              <w:rPr>
                <w:rFonts w:ascii="Calibri" w:hAnsi="Calibri" w:cs="Calibri"/>
                <w:color w:val="000000"/>
                <w:sz w:val="22"/>
                <w:szCs w:val="22"/>
              </w:rPr>
            </w:pPr>
            <w:r w:rsidRPr="00874A11">
              <w:rPr>
                <w:rFonts w:ascii="Calibri" w:hAnsi="Calibri" w:cs="Calibri"/>
                <w:color w:val="000000"/>
                <w:sz w:val="22"/>
                <w:szCs w:val="22"/>
              </w:rPr>
              <w:t>Dry</w:t>
            </w:r>
          </w:p>
        </w:tc>
      </w:tr>
      <w:tr w:rsidR="00874A11" w:rsidRPr="00874A11" w14:paraId="06350290" w14:textId="77777777" w:rsidTr="00874A11">
        <w:trPr>
          <w:trHeight w:val="254"/>
          <w:jc w:val="center"/>
        </w:trPr>
        <w:tc>
          <w:tcPr>
            <w:tcW w:w="1155" w:type="dxa"/>
            <w:shd w:val="clear" w:color="auto" w:fill="auto"/>
            <w:noWrap/>
            <w:vAlign w:val="center"/>
            <w:hideMark/>
          </w:tcPr>
          <w:p w14:paraId="2DCCFB75" w14:textId="77777777" w:rsidR="004A568D" w:rsidRPr="00874A11" w:rsidRDefault="004A568D" w:rsidP="00154E06">
            <w:pPr>
              <w:keepNext/>
              <w:jc w:val="center"/>
              <w:rPr>
                <w:rFonts w:ascii="Calibri" w:hAnsi="Calibri" w:cs="Calibri"/>
                <w:color w:val="000000"/>
                <w:sz w:val="22"/>
                <w:szCs w:val="22"/>
              </w:rPr>
            </w:pPr>
            <w:r w:rsidRPr="00874A11">
              <w:rPr>
                <w:rFonts w:ascii="Calibri" w:hAnsi="Calibri" w:cs="Calibri"/>
                <w:color w:val="000000"/>
                <w:sz w:val="22"/>
                <w:szCs w:val="22"/>
              </w:rPr>
              <w:t>2035</w:t>
            </w:r>
          </w:p>
        </w:tc>
        <w:tc>
          <w:tcPr>
            <w:tcW w:w="1155" w:type="dxa"/>
            <w:shd w:val="clear" w:color="auto" w:fill="auto"/>
            <w:noWrap/>
            <w:vAlign w:val="center"/>
            <w:hideMark/>
          </w:tcPr>
          <w:p w14:paraId="2BD785CE" w14:textId="77777777" w:rsidR="004A568D" w:rsidRPr="00874A11" w:rsidRDefault="004A568D" w:rsidP="00154E06">
            <w:pPr>
              <w:keepNext/>
              <w:rPr>
                <w:rFonts w:ascii="Calibri" w:hAnsi="Calibri" w:cs="Calibri"/>
                <w:color w:val="000000"/>
                <w:sz w:val="22"/>
                <w:szCs w:val="22"/>
              </w:rPr>
            </w:pPr>
            <w:r w:rsidRPr="00874A11">
              <w:rPr>
                <w:rFonts w:ascii="Calibri" w:hAnsi="Calibri" w:cs="Calibri"/>
                <w:color w:val="000000"/>
                <w:sz w:val="22"/>
                <w:szCs w:val="22"/>
              </w:rPr>
              <w:t>Dry</w:t>
            </w:r>
          </w:p>
        </w:tc>
      </w:tr>
      <w:tr w:rsidR="00874A11" w:rsidRPr="00874A11" w14:paraId="410AD0B7" w14:textId="77777777" w:rsidTr="00874A11">
        <w:trPr>
          <w:trHeight w:val="254"/>
          <w:jc w:val="center"/>
        </w:trPr>
        <w:tc>
          <w:tcPr>
            <w:tcW w:w="1155" w:type="dxa"/>
            <w:shd w:val="clear" w:color="auto" w:fill="auto"/>
            <w:noWrap/>
            <w:vAlign w:val="center"/>
            <w:hideMark/>
          </w:tcPr>
          <w:p w14:paraId="3AAFEFCE" w14:textId="77777777" w:rsidR="004A568D" w:rsidRPr="00874A11" w:rsidRDefault="004A568D" w:rsidP="00154E06">
            <w:pPr>
              <w:keepNext/>
              <w:jc w:val="center"/>
              <w:rPr>
                <w:rFonts w:ascii="Calibri" w:hAnsi="Calibri" w:cs="Calibri"/>
                <w:color w:val="000000"/>
                <w:sz w:val="22"/>
                <w:szCs w:val="22"/>
              </w:rPr>
            </w:pPr>
            <w:r w:rsidRPr="00874A11">
              <w:rPr>
                <w:rFonts w:ascii="Calibri" w:hAnsi="Calibri" w:cs="Calibri"/>
                <w:color w:val="000000"/>
                <w:sz w:val="22"/>
                <w:szCs w:val="22"/>
              </w:rPr>
              <w:t>2036</w:t>
            </w:r>
          </w:p>
        </w:tc>
        <w:tc>
          <w:tcPr>
            <w:tcW w:w="1155" w:type="dxa"/>
            <w:shd w:val="clear" w:color="auto" w:fill="auto"/>
            <w:noWrap/>
            <w:vAlign w:val="center"/>
            <w:hideMark/>
          </w:tcPr>
          <w:p w14:paraId="0A8F9319" w14:textId="77777777" w:rsidR="004A568D" w:rsidRPr="00874A11" w:rsidRDefault="004A568D" w:rsidP="00154E06">
            <w:pPr>
              <w:keepNext/>
              <w:rPr>
                <w:rFonts w:ascii="Calibri" w:hAnsi="Calibri" w:cs="Calibri"/>
                <w:color w:val="000000"/>
                <w:sz w:val="22"/>
                <w:szCs w:val="22"/>
              </w:rPr>
            </w:pPr>
            <w:r w:rsidRPr="00874A11">
              <w:rPr>
                <w:rFonts w:ascii="Calibri" w:hAnsi="Calibri" w:cs="Calibri"/>
                <w:color w:val="000000"/>
                <w:sz w:val="22"/>
                <w:szCs w:val="22"/>
              </w:rPr>
              <w:t>Wet</w:t>
            </w:r>
          </w:p>
        </w:tc>
      </w:tr>
      <w:tr w:rsidR="00874A11" w:rsidRPr="00874A11" w14:paraId="150B3B78" w14:textId="77777777" w:rsidTr="00874A11">
        <w:trPr>
          <w:trHeight w:val="254"/>
          <w:jc w:val="center"/>
        </w:trPr>
        <w:tc>
          <w:tcPr>
            <w:tcW w:w="1155" w:type="dxa"/>
            <w:shd w:val="clear" w:color="auto" w:fill="auto"/>
            <w:noWrap/>
            <w:vAlign w:val="center"/>
            <w:hideMark/>
          </w:tcPr>
          <w:p w14:paraId="56F5E3E1" w14:textId="77777777" w:rsidR="004A568D" w:rsidRPr="00874A11" w:rsidRDefault="004A568D" w:rsidP="00154E06">
            <w:pPr>
              <w:keepNext/>
              <w:jc w:val="center"/>
              <w:rPr>
                <w:rFonts w:ascii="Calibri" w:hAnsi="Calibri" w:cs="Calibri"/>
                <w:color w:val="000000"/>
                <w:sz w:val="22"/>
                <w:szCs w:val="22"/>
              </w:rPr>
            </w:pPr>
            <w:r w:rsidRPr="00874A11">
              <w:rPr>
                <w:rFonts w:ascii="Calibri" w:hAnsi="Calibri" w:cs="Calibri"/>
                <w:color w:val="000000"/>
                <w:sz w:val="22"/>
                <w:szCs w:val="22"/>
              </w:rPr>
              <w:t>2037</w:t>
            </w:r>
          </w:p>
        </w:tc>
        <w:tc>
          <w:tcPr>
            <w:tcW w:w="1155" w:type="dxa"/>
            <w:shd w:val="clear" w:color="auto" w:fill="auto"/>
            <w:noWrap/>
            <w:vAlign w:val="center"/>
            <w:hideMark/>
          </w:tcPr>
          <w:p w14:paraId="3234220E" w14:textId="77777777" w:rsidR="004A568D" w:rsidRPr="00874A11" w:rsidRDefault="004A568D" w:rsidP="00154E06">
            <w:pPr>
              <w:keepNext/>
              <w:rPr>
                <w:rFonts w:ascii="Calibri" w:hAnsi="Calibri" w:cs="Calibri"/>
                <w:color w:val="000000"/>
                <w:sz w:val="22"/>
                <w:szCs w:val="22"/>
              </w:rPr>
            </w:pPr>
            <w:r w:rsidRPr="00874A11">
              <w:rPr>
                <w:rFonts w:ascii="Calibri" w:hAnsi="Calibri" w:cs="Calibri"/>
                <w:color w:val="000000"/>
                <w:sz w:val="22"/>
                <w:szCs w:val="22"/>
              </w:rPr>
              <w:t>Dry</w:t>
            </w:r>
          </w:p>
        </w:tc>
      </w:tr>
      <w:tr w:rsidR="00874A11" w:rsidRPr="00874A11" w14:paraId="1660E4FD" w14:textId="77777777" w:rsidTr="00874A11">
        <w:trPr>
          <w:trHeight w:val="254"/>
          <w:jc w:val="center"/>
        </w:trPr>
        <w:tc>
          <w:tcPr>
            <w:tcW w:w="1155" w:type="dxa"/>
            <w:shd w:val="clear" w:color="auto" w:fill="auto"/>
            <w:noWrap/>
            <w:vAlign w:val="center"/>
            <w:hideMark/>
          </w:tcPr>
          <w:p w14:paraId="6AF52FE6" w14:textId="77777777" w:rsidR="004A568D" w:rsidRPr="00874A11" w:rsidRDefault="004A568D" w:rsidP="00154E06">
            <w:pPr>
              <w:keepNext/>
              <w:jc w:val="center"/>
              <w:rPr>
                <w:rFonts w:ascii="Calibri" w:hAnsi="Calibri" w:cs="Calibri"/>
                <w:color w:val="000000"/>
                <w:sz w:val="22"/>
                <w:szCs w:val="22"/>
              </w:rPr>
            </w:pPr>
            <w:r w:rsidRPr="00874A11">
              <w:rPr>
                <w:rFonts w:ascii="Calibri" w:hAnsi="Calibri" w:cs="Calibri"/>
                <w:color w:val="000000"/>
                <w:sz w:val="22"/>
                <w:szCs w:val="22"/>
              </w:rPr>
              <w:t>2038</w:t>
            </w:r>
          </w:p>
        </w:tc>
        <w:tc>
          <w:tcPr>
            <w:tcW w:w="1155" w:type="dxa"/>
            <w:shd w:val="clear" w:color="auto" w:fill="auto"/>
            <w:noWrap/>
            <w:vAlign w:val="center"/>
            <w:hideMark/>
          </w:tcPr>
          <w:p w14:paraId="5B3B8B6E" w14:textId="77777777" w:rsidR="004A568D" w:rsidRPr="00874A11" w:rsidRDefault="004A568D" w:rsidP="00154E06">
            <w:pPr>
              <w:keepNext/>
              <w:rPr>
                <w:rFonts w:ascii="Calibri" w:hAnsi="Calibri" w:cs="Calibri"/>
                <w:color w:val="000000"/>
                <w:sz w:val="22"/>
                <w:szCs w:val="22"/>
              </w:rPr>
            </w:pPr>
            <w:r w:rsidRPr="00874A11">
              <w:rPr>
                <w:rFonts w:ascii="Calibri" w:hAnsi="Calibri" w:cs="Calibri"/>
                <w:color w:val="000000"/>
                <w:sz w:val="22"/>
                <w:szCs w:val="22"/>
              </w:rPr>
              <w:t>Median</w:t>
            </w:r>
          </w:p>
        </w:tc>
      </w:tr>
      <w:tr w:rsidR="00874A11" w:rsidRPr="00874A11" w14:paraId="35AC3767" w14:textId="77777777" w:rsidTr="00874A11">
        <w:trPr>
          <w:trHeight w:val="254"/>
          <w:jc w:val="center"/>
        </w:trPr>
        <w:tc>
          <w:tcPr>
            <w:tcW w:w="1155" w:type="dxa"/>
            <w:shd w:val="clear" w:color="auto" w:fill="auto"/>
            <w:noWrap/>
            <w:vAlign w:val="center"/>
            <w:hideMark/>
          </w:tcPr>
          <w:p w14:paraId="1E3D7236" w14:textId="77777777" w:rsidR="004A568D" w:rsidRPr="00874A11" w:rsidRDefault="004A568D" w:rsidP="00154E06">
            <w:pPr>
              <w:keepNext/>
              <w:jc w:val="center"/>
              <w:rPr>
                <w:rFonts w:ascii="Calibri" w:hAnsi="Calibri" w:cs="Calibri"/>
                <w:color w:val="000000"/>
                <w:sz w:val="22"/>
                <w:szCs w:val="22"/>
              </w:rPr>
            </w:pPr>
            <w:r w:rsidRPr="00874A11">
              <w:rPr>
                <w:rFonts w:ascii="Calibri" w:hAnsi="Calibri" w:cs="Calibri"/>
                <w:color w:val="000000"/>
                <w:sz w:val="22"/>
                <w:szCs w:val="22"/>
              </w:rPr>
              <w:t>2039</w:t>
            </w:r>
          </w:p>
        </w:tc>
        <w:tc>
          <w:tcPr>
            <w:tcW w:w="1155" w:type="dxa"/>
            <w:shd w:val="clear" w:color="auto" w:fill="auto"/>
            <w:noWrap/>
            <w:vAlign w:val="center"/>
            <w:hideMark/>
          </w:tcPr>
          <w:p w14:paraId="36535337" w14:textId="77777777" w:rsidR="004A568D" w:rsidRPr="00874A11" w:rsidRDefault="004A568D" w:rsidP="00154E06">
            <w:pPr>
              <w:keepNext/>
              <w:rPr>
                <w:rFonts w:ascii="Calibri" w:hAnsi="Calibri" w:cs="Calibri"/>
                <w:color w:val="000000"/>
                <w:sz w:val="22"/>
                <w:szCs w:val="22"/>
              </w:rPr>
            </w:pPr>
            <w:r w:rsidRPr="00874A11">
              <w:rPr>
                <w:rFonts w:ascii="Calibri" w:hAnsi="Calibri" w:cs="Calibri"/>
                <w:color w:val="000000"/>
                <w:sz w:val="22"/>
                <w:szCs w:val="22"/>
              </w:rPr>
              <w:t>Median</w:t>
            </w:r>
          </w:p>
        </w:tc>
      </w:tr>
      <w:tr w:rsidR="00874A11" w:rsidRPr="00874A11" w14:paraId="4C3181A1" w14:textId="77777777" w:rsidTr="00874A11">
        <w:trPr>
          <w:trHeight w:val="254"/>
          <w:jc w:val="center"/>
        </w:trPr>
        <w:tc>
          <w:tcPr>
            <w:tcW w:w="1155" w:type="dxa"/>
            <w:shd w:val="clear" w:color="auto" w:fill="auto"/>
            <w:noWrap/>
            <w:vAlign w:val="center"/>
            <w:hideMark/>
          </w:tcPr>
          <w:p w14:paraId="2AD63CC4" w14:textId="77777777" w:rsidR="004A568D" w:rsidRPr="00874A11" w:rsidRDefault="004A568D" w:rsidP="00154E06">
            <w:pPr>
              <w:keepNext/>
              <w:jc w:val="center"/>
              <w:rPr>
                <w:rFonts w:ascii="Calibri" w:hAnsi="Calibri" w:cs="Calibri"/>
                <w:color w:val="000000"/>
                <w:sz w:val="22"/>
                <w:szCs w:val="22"/>
              </w:rPr>
            </w:pPr>
            <w:r w:rsidRPr="00874A11">
              <w:rPr>
                <w:rFonts w:ascii="Calibri" w:hAnsi="Calibri" w:cs="Calibri"/>
                <w:color w:val="000000"/>
                <w:sz w:val="22"/>
                <w:szCs w:val="22"/>
              </w:rPr>
              <w:t>2040</w:t>
            </w:r>
          </w:p>
        </w:tc>
        <w:tc>
          <w:tcPr>
            <w:tcW w:w="1155" w:type="dxa"/>
            <w:shd w:val="clear" w:color="auto" w:fill="auto"/>
            <w:noWrap/>
            <w:vAlign w:val="center"/>
            <w:hideMark/>
          </w:tcPr>
          <w:p w14:paraId="77E5F694" w14:textId="77777777" w:rsidR="004A568D" w:rsidRPr="00874A11" w:rsidRDefault="004A568D" w:rsidP="00154E06">
            <w:pPr>
              <w:keepNext/>
              <w:rPr>
                <w:rFonts w:ascii="Calibri" w:hAnsi="Calibri" w:cs="Calibri"/>
                <w:color w:val="000000"/>
                <w:sz w:val="22"/>
                <w:szCs w:val="22"/>
              </w:rPr>
            </w:pPr>
            <w:r w:rsidRPr="00874A11">
              <w:rPr>
                <w:rFonts w:ascii="Calibri" w:hAnsi="Calibri" w:cs="Calibri"/>
                <w:color w:val="000000"/>
                <w:sz w:val="22"/>
                <w:szCs w:val="22"/>
              </w:rPr>
              <w:t>Wet</w:t>
            </w:r>
          </w:p>
        </w:tc>
      </w:tr>
      <w:tr w:rsidR="00874A11" w:rsidRPr="00874A11" w14:paraId="2D09E55B" w14:textId="77777777" w:rsidTr="00874A11">
        <w:trPr>
          <w:trHeight w:val="254"/>
          <w:jc w:val="center"/>
        </w:trPr>
        <w:tc>
          <w:tcPr>
            <w:tcW w:w="1155" w:type="dxa"/>
            <w:shd w:val="clear" w:color="auto" w:fill="auto"/>
            <w:noWrap/>
            <w:vAlign w:val="center"/>
            <w:hideMark/>
          </w:tcPr>
          <w:p w14:paraId="2246CCB1" w14:textId="77777777" w:rsidR="004A568D" w:rsidRPr="00874A11" w:rsidRDefault="004A568D" w:rsidP="00154E06">
            <w:pPr>
              <w:keepNext/>
              <w:jc w:val="center"/>
              <w:rPr>
                <w:rFonts w:ascii="Calibri" w:hAnsi="Calibri" w:cs="Calibri"/>
                <w:color w:val="000000"/>
                <w:sz w:val="22"/>
                <w:szCs w:val="22"/>
              </w:rPr>
            </w:pPr>
            <w:r w:rsidRPr="00874A11">
              <w:rPr>
                <w:rFonts w:ascii="Calibri" w:hAnsi="Calibri" w:cs="Calibri"/>
                <w:color w:val="000000"/>
                <w:sz w:val="22"/>
                <w:szCs w:val="22"/>
              </w:rPr>
              <w:t>2041</w:t>
            </w:r>
          </w:p>
        </w:tc>
        <w:tc>
          <w:tcPr>
            <w:tcW w:w="1155" w:type="dxa"/>
            <w:shd w:val="clear" w:color="auto" w:fill="auto"/>
            <w:noWrap/>
            <w:vAlign w:val="center"/>
            <w:hideMark/>
          </w:tcPr>
          <w:p w14:paraId="1127558E" w14:textId="77777777" w:rsidR="004A568D" w:rsidRPr="00874A11" w:rsidRDefault="004A568D" w:rsidP="00154E06">
            <w:pPr>
              <w:keepNext/>
              <w:rPr>
                <w:rFonts w:ascii="Calibri" w:hAnsi="Calibri" w:cs="Calibri"/>
                <w:color w:val="000000"/>
                <w:sz w:val="22"/>
                <w:szCs w:val="22"/>
              </w:rPr>
            </w:pPr>
            <w:r w:rsidRPr="00874A11">
              <w:rPr>
                <w:rFonts w:ascii="Calibri" w:hAnsi="Calibri" w:cs="Calibri"/>
                <w:color w:val="000000"/>
                <w:sz w:val="22"/>
                <w:szCs w:val="22"/>
              </w:rPr>
              <w:t>Median</w:t>
            </w:r>
          </w:p>
        </w:tc>
      </w:tr>
    </w:tbl>
    <w:p w14:paraId="3854D7BE" w14:textId="77777777" w:rsidR="004A568D" w:rsidRDefault="004A568D" w:rsidP="00185F14">
      <w:pPr>
        <w:jc w:val="center"/>
        <w:rPr>
          <w:b/>
          <w:bCs/>
        </w:rPr>
      </w:pPr>
    </w:p>
    <w:p w14:paraId="2A9954ED" w14:textId="0B101C61" w:rsidR="001433FF" w:rsidRDefault="001433FF" w:rsidP="00895D02">
      <w:pPr>
        <w:spacing w:before="240"/>
      </w:pPr>
      <w:r>
        <w:t xml:space="preserve">The 2024 RA prices and </w:t>
      </w:r>
      <w:r w:rsidR="00BD7B7D">
        <w:t>R</w:t>
      </w:r>
      <w:r w:rsidR="00BD7B7D" w:rsidRPr="00BD7B7D">
        <w:t xml:space="preserve">enewable </w:t>
      </w:r>
      <w:r w:rsidR="00BD7B7D">
        <w:t>E</w:t>
      </w:r>
      <w:r w:rsidR="00BD7B7D" w:rsidRPr="00BD7B7D">
        <w:t xml:space="preserve">nergy </w:t>
      </w:r>
      <w:r w:rsidR="00BD7B7D">
        <w:t>C</w:t>
      </w:r>
      <w:r w:rsidR="00BD7B7D" w:rsidRPr="00BD7B7D">
        <w:t xml:space="preserve">redit </w:t>
      </w:r>
      <w:r w:rsidR="00BD7B7D">
        <w:t>(</w:t>
      </w:r>
      <w:r>
        <w:t>REC</w:t>
      </w:r>
      <w:r w:rsidR="00BD7B7D">
        <w:t>)</w:t>
      </w:r>
      <w:r w:rsidR="00B97E89">
        <w:rPr>
          <w:rStyle w:val="FootnoteReference"/>
        </w:rPr>
        <w:footnoteReference w:id="27"/>
      </w:r>
      <w:r>
        <w:t xml:space="preserve"> prices are assumed to be $8/kW-Mo and </w:t>
      </w:r>
      <w:r w:rsidR="004D650C">
        <w:t xml:space="preserve">$0.015/kWh, respectively, with an annual escalation rate of 2.5%. </w:t>
      </w:r>
      <w:r w:rsidR="00A25320">
        <w:t xml:space="preserve"> </w:t>
      </w:r>
      <w:r w:rsidR="004D650C">
        <w:t xml:space="preserve">It is assumed that the District’s net short (Demand minus Supply) of RA capacity to meet the PRM and </w:t>
      </w:r>
      <w:proofErr w:type="gramStart"/>
      <w:r w:rsidR="004D650C">
        <w:t>REC’s</w:t>
      </w:r>
      <w:proofErr w:type="gramEnd"/>
      <w:r w:rsidR="004D650C">
        <w:t xml:space="preserve"> to meet the RPS goal are charged at these prices, whereas the District is paid for any surplus/net long.</w:t>
      </w:r>
      <w:r w:rsidR="004D650C">
        <w:rPr>
          <w:rStyle w:val="FootnoteReference"/>
        </w:rPr>
        <w:footnoteReference w:id="28"/>
      </w:r>
      <w:r w:rsidR="004D650C">
        <w:t xml:space="preserve"> </w:t>
      </w:r>
    </w:p>
    <w:p w14:paraId="33E32520" w14:textId="0B66639F" w:rsidR="002D58BB" w:rsidRPr="00874A11" w:rsidRDefault="00895D02" w:rsidP="00895D02">
      <w:pPr>
        <w:spacing w:before="240"/>
      </w:pPr>
      <w:r w:rsidRPr="00874A11">
        <w:t xml:space="preserve">The District is a network transmission service customer under the currently effective joint Open Access Transmission Tariff (OATT) </w:t>
      </w:r>
      <w:r w:rsidR="00880B37">
        <w:t>of</w:t>
      </w:r>
      <w:r w:rsidR="00880B37" w:rsidRPr="00874A11">
        <w:t xml:space="preserve"> </w:t>
      </w:r>
      <w:r w:rsidRPr="00874A11">
        <w:t xml:space="preserve">Sierra Pacific Power Company (SPPC) d/b/a NV Energy (NVE). </w:t>
      </w:r>
      <w:r w:rsidR="00A25320">
        <w:t xml:space="preserve"> </w:t>
      </w:r>
      <w:r w:rsidRPr="00874A11">
        <w:t>Therefore, t</w:t>
      </w:r>
      <w:r w:rsidR="00175D3D" w:rsidRPr="00874A11">
        <w:t xml:space="preserve">he District load pays </w:t>
      </w:r>
      <w:r w:rsidR="004C0B6C">
        <w:t xml:space="preserve">the </w:t>
      </w:r>
      <w:r w:rsidR="00175D3D" w:rsidRPr="00874A11">
        <w:t>NVE transmission charge for all its deliveries</w:t>
      </w:r>
      <w:r w:rsidR="00880B37">
        <w:t xml:space="preserve"> from the NVE transmission system</w:t>
      </w:r>
      <w:r w:rsidR="00175D3D" w:rsidRPr="00874A11">
        <w:t xml:space="preserve">. </w:t>
      </w:r>
      <w:r w:rsidR="00A25320">
        <w:t xml:space="preserve"> </w:t>
      </w:r>
      <w:r w:rsidR="00175D3D" w:rsidRPr="00874A11">
        <w:t xml:space="preserve">Since the CVP resource is in the California ISO (CAISO) </w:t>
      </w:r>
      <w:r w:rsidR="006B0F81">
        <w:t>BAA</w:t>
      </w:r>
      <w:r w:rsidRPr="00874A11">
        <w:t xml:space="preserve">, </w:t>
      </w:r>
      <w:r w:rsidR="004D03FD" w:rsidRPr="00874A11">
        <w:t>these import</w:t>
      </w:r>
      <w:r w:rsidR="00175D3D" w:rsidRPr="00874A11">
        <w:t xml:space="preserve"> deliveries</w:t>
      </w:r>
      <w:r w:rsidR="004D03FD" w:rsidRPr="00874A11">
        <w:t xml:space="preserve"> are </w:t>
      </w:r>
      <w:r w:rsidR="00880B37">
        <w:t xml:space="preserve">also </w:t>
      </w:r>
      <w:r w:rsidR="004D03FD" w:rsidRPr="00874A11">
        <w:t xml:space="preserve">charged the CAISO Wheeling Access Charge (WAC). </w:t>
      </w:r>
      <w:r w:rsidR="00880B37">
        <w:t>In addition to WAC charges, for</w:t>
      </w:r>
      <w:r w:rsidR="004D03FD" w:rsidRPr="00874A11">
        <w:t xml:space="preserve"> deliveries </w:t>
      </w:r>
      <w:r w:rsidR="00880B37">
        <w:t>that utilize transmission facilities below 200 kV, such as</w:t>
      </w:r>
      <w:r w:rsidR="004D03FD" w:rsidRPr="00874A11">
        <w:t xml:space="preserve"> PG&amp;E</w:t>
      </w:r>
      <w:r w:rsidR="00880B37">
        <w:t>’s Summit Intertie Schedule Point</w:t>
      </w:r>
      <w:r w:rsidR="003A3A04">
        <w:t>.  L</w:t>
      </w:r>
      <w:r w:rsidR="004D03FD" w:rsidRPr="00874A11">
        <w:t>ow-voltage (LV) Transmission Access Charge (TAC)</w:t>
      </w:r>
      <w:r w:rsidR="00880B37">
        <w:t xml:space="preserve"> are applied in addition to the WAC</w:t>
      </w:r>
      <w:r w:rsidR="004D03FD" w:rsidRPr="00874A11">
        <w:t xml:space="preserve">. </w:t>
      </w:r>
      <w:r w:rsidR="00A25320">
        <w:t xml:space="preserve"> </w:t>
      </w:r>
      <w:r w:rsidR="004D03FD" w:rsidRPr="00874A11">
        <w:t>Flynn RCI’s proprietary TAC forecast for NVE (Base and High scenarios), CAISO WAC</w:t>
      </w:r>
      <w:r w:rsidR="004C0B6C">
        <w:t>,</w:t>
      </w:r>
      <w:r w:rsidR="004D03FD" w:rsidRPr="00874A11">
        <w:t xml:space="preserve"> and </w:t>
      </w:r>
      <w:r w:rsidR="00880B37">
        <w:t xml:space="preserve">PG&amp;E </w:t>
      </w:r>
      <w:r w:rsidR="004D03FD" w:rsidRPr="00874A11">
        <w:t xml:space="preserve">LV TAC are shown in Figure </w:t>
      </w:r>
      <w:r w:rsidR="00502CEA">
        <w:t>8</w:t>
      </w:r>
      <w:r w:rsidR="00502CEA" w:rsidRPr="00874A11">
        <w:t xml:space="preserve"> </w:t>
      </w:r>
      <w:r w:rsidR="004D03FD" w:rsidRPr="00874A11">
        <w:t>below.</w:t>
      </w:r>
    </w:p>
    <w:p w14:paraId="449A5149" w14:textId="73AB0D45" w:rsidR="002D58BB" w:rsidRPr="00874A11" w:rsidRDefault="004D03FD" w:rsidP="00154E06">
      <w:pPr>
        <w:keepNext/>
        <w:spacing w:before="240"/>
        <w:jc w:val="center"/>
        <w:rPr>
          <w:b/>
          <w:bCs/>
        </w:rPr>
      </w:pPr>
      <w:r w:rsidRPr="004D03FD">
        <w:rPr>
          <w:b/>
          <w:bCs/>
        </w:rPr>
        <w:lastRenderedPageBreak/>
        <w:t>Figure</w:t>
      </w:r>
      <w:r w:rsidR="00895D02" w:rsidRPr="00874A11">
        <w:rPr>
          <w:b/>
          <w:bCs/>
        </w:rPr>
        <w:t xml:space="preserve"> </w:t>
      </w:r>
      <w:r w:rsidR="00502CEA">
        <w:rPr>
          <w:b/>
          <w:bCs/>
        </w:rPr>
        <w:t>8</w:t>
      </w:r>
      <w:r w:rsidR="00895D02" w:rsidRPr="00874A11">
        <w:rPr>
          <w:b/>
          <w:bCs/>
        </w:rPr>
        <w:t>: Transmission Charge Forecast</w:t>
      </w:r>
      <w:r w:rsidR="005D5D9F">
        <w:rPr>
          <w:b/>
          <w:bCs/>
        </w:rPr>
        <w:t xml:space="preserve"> ($/kWh)</w:t>
      </w:r>
      <w:r w:rsidR="00895D02" w:rsidRPr="00874A11">
        <w:rPr>
          <w:b/>
          <w:bCs/>
        </w:rPr>
        <w:t>: 2024-2040</w:t>
      </w:r>
    </w:p>
    <w:p w14:paraId="7B3F04BB" w14:textId="7AF663F2" w:rsidR="00895D02" w:rsidRDefault="00BC5F64" w:rsidP="00B52E15">
      <w:pPr>
        <w:spacing w:before="120"/>
        <w:jc w:val="center"/>
      </w:pPr>
      <w:r w:rsidRPr="00BC5F64">
        <w:rPr>
          <w:noProof/>
        </w:rPr>
        <w:t xml:space="preserve"> </w:t>
      </w:r>
      <w:r>
        <w:rPr>
          <w:noProof/>
        </w:rPr>
        <w:drawing>
          <wp:inline distT="0" distB="0" distL="0" distR="0" wp14:anchorId="39EA5054" wp14:editId="71A16160">
            <wp:extent cx="5369998" cy="3261360"/>
            <wp:effectExtent l="0" t="0" r="2540" b="2540"/>
            <wp:docPr id="664982227" name="Picture 664982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982227" name=""/>
                    <pic:cNvPicPr/>
                  </pic:nvPicPr>
                  <pic:blipFill>
                    <a:blip r:embed="rId39"/>
                    <a:stretch>
                      <a:fillRect/>
                    </a:stretch>
                  </pic:blipFill>
                  <pic:spPr>
                    <a:xfrm>
                      <a:off x="0" y="0"/>
                      <a:ext cx="5374267" cy="3263953"/>
                    </a:xfrm>
                    <a:prstGeom prst="rect">
                      <a:avLst/>
                    </a:prstGeom>
                  </pic:spPr>
                </pic:pic>
              </a:graphicData>
            </a:graphic>
          </wp:inline>
        </w:drawing>
      </w:r>
    </w:p>
    <w:p w14:paraId="7B47690B" w14:textId="7619FEFC" w:rsidR="0065744D" w:rsidRPr="00E8355E" w:rsidRDefault="00A55BDB" w:rsidP="0065744D">
      <w:pPr>
        <w:pStyle w:val="Heading1"/>
        <w:shd w:val="clear" w:color="auto" w:fill="007033"/>
        <w:rPr>
          <w:color w:val="FFFFFF" w:themeColor="background1"/>
        </w:rPr>
      </w:pPr>
      <w:bookmarkStart w:id="22" w:name="_Toc153273291"/>
      <w:bookmarkStart w:id="23" w:name="_Toc153451648"/>
      <w:r>
        <w:rPr>
          <w:color w:val="FFFFFF" w:themeColor="background1"/>
        </w:rPr>
        <w:t xml:space="preserve">Load-Resource Balance Cost </w:t>
      </w:r>
      <w:r w:rsidR="001C211C">
        <w:rPr>
          <w:color w:val="FFFFFF" w:themeColor="background1"/>
        </w:rPr>
        <w:t xml:space="preserve">Primary </w:t>
      </w:r>
      <w:r>
        <w:rPr>
          <w:color w:val="FFFFFF" w:themeColor="background1"/>
        </w:rPr>
        <w:t>Scenario</w:t>
      </w:r>
      <w:r w:rsidR="001C211C">
        <w:rPr>
          <w:color w:val="FFFFFF" w:themeColor="background1"/>
        </w:rPr>
        <w:t>s</w:t>
      </w:r>
      <w:bookmarkEnd w:id="22"/>
      <w:bookmarkEnd w:id="23"/>
    </w:p>
    <w:p w14:paraId="06B82065" w14:textId="69C88257" w:rsidR="00033008" w:rsidRPr="00874A11" w:rsidRDefault="00033008" w:rsidP="00874A11">
      <w:pPr>
        <w:pStyle w:val="Heading2"/>
        <w:rPr>
          <w:b w:val="0"/>
          <w:bCs w:val="0"/>
          <w:sz w:val="24"/>
          <w:szCs w:val="24"/>
        </w:rPr>
      </w:pPr>
      <w:bookmarkStart w:id="24" w:name="_Toc153273292"/>
      <w:bookmarkStart w:id="25" w:name="_Toc153451649"/>
      <w:r w:rsidRPr="00874A11">
        <w:rPr>
          <w:bCs w:val="0"/>
          <w:sz w:val="24"/>
          <w:szCs w:val="24"/>
        </w:rPr>
        <w:t>Overview of IRP Methodology</w:t>
      </w:r>
      <w:bookmarkEnd w:id="24"/>
      <w:bookmarkEnd w:id="25"/>
    </w:p>
    <w:p w14:paraId="08FE8418" w14:textId="3981935B" w:rsidR="00033008" w:rsidRDefault="00033008" w:rsidP="00033008">
      <w:r>
        <w:t>IRP is the process that utilities undertake to determine a long-term plan to ensure generation resources are adequate to meet projected future peak capacity and energy needs while achieving other District objectives</w:t>
      </w:r>
      <w:r w:rsidR="004C0B6C">
        <w:t>,</w:t>
      </w:r>
      <w:r>
        <w:t xml:space="preserve"> such as </w:t>
      </w:r>
      <w:r w:rsidR="006E7DCA">
        <w:t>meeting Renewable Portfolio Standards and Greenhouse Gas reduction goals</w:t>
      </w:r>
      <w:r>
        <w:t xml:space="preserve">. </w:t>
      </w:r>
      <w:r w:rsidR="00A25320">
        <w:t xml:space="preserve"> </w:t>
      </w:r>
      <w:r>
        <w:t xml:space="preserve">Resource plans must ensure reliability is maintained at or above industry standard levels. </w:t>
      </w:r>
      <w:r w:rsidR="00A25320">
        <w:t xml:space="preserve"> </w:t>
      </w:r>
      <w:r>
        <w:t xml:space="preserve">IRPs should also forecast long-term costs </w:t>
      </w:r>
      <w:r w:rsidR="003B5502">
        <w:t xml:space="preserve">with an eye towards </w:t>
      </w:r>
      <w:r>
        <w:t>potential rate impacts to customers to ensure that the utility can monitor and track trends with sufficient time to implement solutions to ensure reliab</w:t>
      </w:r>
      <w:r w:rsidR="006E7DCA">
        <w:t xml:space="preserve">le </w:t>
      </w:r>
      <w:r>
        <w:t xml:space="preserve">and affordable electric service. </w:t>
      </w:r>
      <w:r w:rsidR="00A25320">
        <w:t xml:space="preserve"> </w:t>
      </w:r>
      <w:r>
        <w:t>An effective resource plan should also provide a reasonable degree of flexibility for the utility to deal with uncertainty in technological change and future regulations.</w:t>
      </w:r>
    </w:p>
    <w:p w14:paraId="31EB4B00" w14:textId="77777777" w:rsidR="00033008" w:rsidRPr="003A3A04" w:rsidRDefault="00033008" w:rsidP="003A3A04">
      <w:pPr>
        <w:pStyle w:val="BodyText"/>
        <w:rPr>
          <w:sz w:val="24"/>
          <w:szCs w:val="24"/>
        </w:rPr>
      </w:pPr>
      <w:r w:rsidRPr="003A3A04">
        <w:rPr>
          <w:sz w:val="24"/>
          <w:szCs w:val="24"/>
        </w:rPr>
        <w:t>IRPs utilize various economic analyses and methodologies to assess alternative scenarios (e.g.,</w:t>
      </w:r>
    </w:p>
    <w:p w14:paraId="3FD99A1F" w14:textId="3AFECCBF" w:rsidR="00033008" w:rsidRPr="003A3A04" w:rsidRDefault="00033008" w:rsidP="00874A11">
      <w:pPr>
        <w:rPr>
          <w:sz w:val="28"/>
          <w:szCs w:val="28"/>
        </w:rPr>
      </w:pPr>
      <w:r w:rsidRPr="003A3A04">
        <w:t>different combinations of supply and demand resources) and sensitivities to key assumptions to arrive at an economically optimal resource plan (subject to various constraints, such as regulatory mandates and local policies).</w:t>
      </w:r>
      <w:r w:rsidR="00A25320">
        <w:t xml:space="preserve"> </w:t>
      </w:r>
      <w:r w:rsidRPr="003A3A04">
        <w:t xml:space="preserve"> We followed key steps in the resource planning process that are standard to the industry</w:t>
      </w:r>
      <w:r w:rsidR="003B5502" w:rsidRPr="003A3A04">
        <w:t xml:space="preserve">, as </w:t>
      </w:r>
      <w:r w:rsidRPr="003A3A04">
        <w:t>outlined below</w:t>
      </w:r>
      <w:r w:rsidRPr="003A3A04">
        <w:rPr>
          <w:sz w:val="28"/>
          <w:szCs w:val="28"/>
        </w:rPr>
        <w:t>.</w:t>
      </w:r>
      <w:r w:rsidRPr="003A3A04">
        <w:rPr>
          <w:rStyle w:val="FootnoteReference"/>
          <w:sz w:val="28"/>
          <w:szCs w:val="28"/>
        </w:rPr>
        <w:footnoteReference w:id="29"/>
      </w:r>
    </w:p>
    <w:p w14:paraId="001B7109" w14:textId="77777777" w:rsidR="00033008" w:rsidRDefault="00033008" w:rsidP="00033008"/>
    <w:p w14:paraId="3972915E" w14:textId="2C63AA49" w:rsidR="00033008" w:rsidRPr="003A3A04" w:rsidRDefault="00033008" w:rsidP="003A3A04">
      <w:pPr>
        <w:pStyle w:val="ListParagraph"/>
        <w:numPr>
          <w:ilvl w:val="0"/>
          <w:numId w:val="16"/>
        </w:numPr>
        <w:rPr>
          <w:sz w:val="24"/>
          <w:szCs w:val="24"/>
        </w:rPr>
      </w:pPr>
      <w:r w:rsidRPr="003A3A04">
        <w:rPr>
          <w:b/>
          <w:bCs/>
          <w:sz w:val="24"/>
          <w:szCs w:val="24"/>
        </w:rPr>
        <w:t>Examine Planning Framework and Risks:</w:t>
      </w:r>
      <w:r w:rsidRPr="003A3A04">
        <w:rPr>
          <w:sz w:val="24"/>
          <w:szCs w:val="24"/>
        </w:rPr>
        <w:t xml:space="preserve"> Identify and assess challenges the utility faces in the current business and regulatory environment.</w:t>
      </w:r>
    </w:p>
    <w:p w14:paraId="7AA61780" w14:textId="20D58B94" w:rsidR="00033008" w:rsidRPr="003A3A04" w:rsidRDefault="00033008" w:rsidP="003A3A04">
      <w:pPr>
        <w:pStyle w:val="ListParagraph"/>
        <w:numPr>
          <w:ilvl w:val="0"/>
          <w:numId w:val="16"/>
        </w:numPr>
        <w:rPr>
          <w:sz w:val="24"/>
          <w:szCs w:val="24"/>
        </w:rPr>
      </w:pPr>
      <w:r w:rsidRPr="003A3A04">
        <w:rPr>
          <w:b/>
          <w:bCs/>
          <w:sz w:val="24"/>
          <w:szCs w:val="24"/>
        </w:rPr>
        <w:t>Assess Needs:</w:t>
      </w:r>
      <w:r w:rsidRPr="003A3A04">
        <w:rPr>
          <w:sz w:val="24"/>
          <w:szCs w:val="24"/>
        </w:rPr>
        <w:t xml:space="preserve"> Develop forecasts of load changes (incorporating impacts of cost-effective demand-side resources), existing contracts, contract terms, and operational</w:t>
      </w:r>
      <w:r w:rsidR="00AC2745" w:rsidRPr="003A3A04">
        <w:rPr>
          <w:sz w:val="24"/>
          <w:szCs w:val="24"/>
        </w:rPr>
        <w:t xml:space="preserve"> </w:t>
      </w:r>
      <w:r w:rsidRPr="003A3A04">
        <w:rPr>
          <w:sz w:val="24"/>
          <w:szCs w:val="24"/>
        </w:rPr>
        <w:t>constraints to determine resource needs over the planning period.</w:t>
      </w:r>
    </w:p>
    <w:p w14:paraId="028FBC98" w14:textId="34607E4F" w:rsidR="00033008" w:rsidRPr="003A3A04" w:rsidRDefault="00033008" w:rsidP="003A3A04">
      <w:pPr>
        <w:pStyle w:val="ListParagraph"/>
        <w:numPr>
          <w:ilvl w:val="0"/>
          <w:numId w:val="16"/>
        </w:numPr>
        <w:rPr>
          <w:sz w:val="24"/>
          <w:szCs w:val="24"/>
        </w:rPr>
      </w:pPr>
      <w:r w:rsidRPr="003A3A04">
        <w:rPr>
          <w:b/>
          <w:bCs/>
          <w:sz w:val="24"/>
          <w:szCs w:val="24"/>
        </w:rPr>
        <w:t>Consider Resource Options:</w:t>
      </w:r>
      <w:r w:rsidRPr="003A3A04">
        <w:rPr>
          <w:sz w:val="24"/>
          <w:szCs w:val="24"/>
        </w:rPr>
        <w:t xml:space="preserve"> Evaluate available generation resources, including</w:t>
      </w:r>
      <w:r w:rsidR="00AC2745" w:rsidRPr="003A3A04">
        <w:rPr>
          <w:sz w:val="24"/>
          <w:szCs w:val="24"/>
        </w:rPr>
        <w:t xml:space="preserve"> </w:t>
      </w:r>
      <w:r w:rsidRPr="003A3A04">
        <w:rPr>
          <w:sz w:val="24"/>
          <w:szCs w:val="24"/>
        </w:rPr>
        <w:t>centralized and distributed renewables and long-term market power purchases</w:t>
      </w:r>
      <w:r w:rsidR="004C0B6C" w:rsidRPr="003A3A04">
        <w:rPr>
          <w:sz w:val="24"/>
          <w:szCs w:val="24"/>
        </w:rPr>
        <w:t>,</w:t>
      </w:r>
      <w:r w:rsidRPr="003A3A04">
        <w:rPr>
          <w:sz w:val="24"/>
          <w:szCs w:val="24"/>
        </w:rPr>
        <w:t xml:space="preserve"> to identify the</w:t>
      </w:r>
      <w:r w:rsidR="00AC2745" w:rsidRPr="003A3A04">
        <w:rPr>
          <w:sz w:val="24"/>
          <w:szCs w:val="24"/>
        </w:rPr>
        <w:t xml:space="preserve"> </w:t>
      </w:r>
      <w:r w:rsidRPr="003A3A04">
        <w:rPr>
          <w:sz w:val="24"/>
          <w:szCs w:val="24"/>
        </w:rPr>
        <w:t>role each will play in meeting customer needs and regulatory and policy goals.</w:t>
      </w:r>
    </w:p>
    <w:p w14:paraId="5C82FBC5" w14:textId="7406A328" w:rsidR="00AC2745" w:rsidRPr="003A3A04" w:rsidRDefault="00033008" w:rsidP="003A3A04">
      <w:pPr>
        <w:pStyle w:val="ListParagraph"/>
        <w:numPr>
          <w:ilvl w:val="0"/>
          <w:numId w:val="16"/>
        </w:numPr>
        <w:rPr>
          <w:sz w:val="24"/>
          <w:szCs w:val="24"/>
        </w:rPr>
      </w:pPr>
      <w:r w:rsidRPr="003A3A04">
        <w:rPr>
          <w:b/>
          <w:bCs/>
          <w:sz w:val="24"/>
          <w:szCs w:val="24"/>
        </w:rPr>
        <w:t>Develop Resource Portfolios:</w:t>
      </w:r>
      <w:r w:rsidRPr="003A3A04">
        <w:rPr>
          <w:sz w:val="24"/>
          <w:szCs w:val="24"/>
        </w:rPr>
        <w:t xml:space="preserve"> Develop resource </w:t>
      </w:r>
      <w:proofErr w:type="gramStart"/>
      <w:r w:rsidRPr="003A3A04">
        <w:rPr>
          <w:sz w:val="24"/>
          <w:szCs w:val="24"/>
        </w:rPr>
        <w:t>portfolios, and</w:t>
      </w:r>
      <w:proofErr w:type="gramEnd"/>
      <w:r w:rsidRPr="003A3A04">
        <w:rPr>
          <w:sz w:val="24"/>
          <w:szCs w:val="24"/>
        </w:rPr>
        <w:t xml:space="preserve"> evaluate them</w:t>
      </w:r>
      <w:r w:rsidR="00AC2745" w:rsidRPr="003A3A04">
        <w:rPr>
          <w:sz w:val="24"/>
          <w:szCs w:val="24"/>
        </w:rPr>
        <w:t xml:space="preserve"> </w:t>
      </w:r>
      <w:r w:rsidRPr="003A3A04">
        <w:rPr>
          <w:sz w:val="24"/>
          <w:szCs w:val="24"/>
        </w:rPr>
        <w:t xml:space="preserve">quantitatively and qualitatively to determine a preferred portfolio. Evaluation relies upon </w:t>
      </w:r>
      <w:r w:rsidR="00AC2745" w:rsidRPr="003A3A04">
        <w:rPr>
          <w:sz w:val="24"/>
          <w:szCs w:val="24"/>
        </w:rPr>
        <w:t xml:space="preserve">RPS and </w:t>
      </w:r>
      <w:r w:rsidRPr="003A3A04">
        <w:rPr>
          <w:sz w:val="24"/>
          <w:szCs w:val="24"/>
        </w:rPr>
        <w:t>GHG</w:t>
      </w:r>
      <w:r w:rsidR="00AC2745" w:rsidRPr="003A3A04">
        <w:rPr>
          <w:sz w:val="24"/>
          <w:szCs w:val="24"/>
        </w:rPr>
        <w:t xml:space="preserve">-free </w:t>
      </w:r>
      <w:r w:rsidRPr="003A3A04">
        <w:rPr>
          <w:sz w:val="24"/>
          <w:szCs w:val="24"/>
        </w:rPr>
        <w:t>requirements, needs assessment, and planning data specified in previous steps.</w:t>
      </w:r>
    </w:p>
    <w:p w14:paraId="60FEE510" w14:textId="162BAB50" w:rsidR="00AC2745" w:rsidRPr="003A3A04" w:rsidRDefault="00AC2745" w:rsidP="003A3A04">
      <w:pPr>
        <w:pStyle w:val="ListParagraph"/>
        <w:numPr>
          <w:ilvl w:val="0"/>
          <w:numId w:val="16"/>
        </w:numPr>
        <w:rPr>
          <w:sz w:val="24"/>
          <w:szCs w:val="24"/>
        </w:rPr>
      </w:pPr>
      <w:r w:rsidRPr="003A3A04">
        <w:rPr>
          <w:b/>
          <w:bCs/>
          <w:sz w:val="24"/>
          <w:szCs w:val="24"/>
        </w:rPr>
        <w:t>Perform Scenario and Risk Analysis:</w:t>
      </w:r>
      <w:r w:rsidRPr="003A3A04">
        <w:rPr>
          <w:sz w:val="24"/>
          <w:szCs w:val="24"/>
        </w:rPr>
        <w:t xml:space="preserve"> Perform detailed evaluations of preferred resource portfolios through scenario and risk analysis to assess performance under a range of potential market and regulatory conditions.</w:t>
      </w:r>
    </w:p>
    <w:p w14:paraId="6B025BFF" w14:textId="1ACB2AD3" w:rsidR="00033008" w:rsidRPr="003A3A04" w:rsidRDefault="00AC2745" w:rsidP="003A3A04">
      <w:pPr>
        <w:pStyle w:val="ListParagraph"/>
        <w:numPr>
          <w:ilvl w:val="0"/>
          <w:numId w:val="16"/>
        </w:numPr>
        <w:rPr>
          <w:sz w:val="24"/>
          <w:szCs w:val="24"/>
        </w:rPr>
      </w:pPr>
      <w:r w:rsidRPr="003A3A04">
        <w:rPr>
          <w:b/>
          <w:bCs/>
          <w:sz w:val="24"/>
          <w:szCs w:val="24"/>
        </w:rPr>
        <w:t>Identify Recommended Portfolio</w:t>
      </w:r>
      <w:r w:rsidR="00033008" w:rsidRPr="003A3A04">
        <w:rPr>
          <w:b/>
          <w:bCs/>
          <w:sz w:val="24"/>
          <w:szCs w:val="24"/>
        </w:rPr>
        <w:t>:</w:t>
      </w:r>
      <w:r w:rsidR="00033008" w:rsidRPr="003A3A04">
        <w:rPr>
          <w:sz w:val="24"/>
          <w:szCs w:val="24"/>
        </w:rPr>
        <w:t xml:space="preserve"> Identify a “</w:t>
      </w:r>
      <w:r w:rsidRPr="003A3A04">
        <w:rPr>
          <w:sz w:val="24"/>
          <w:szCs w:val="24"/>
        </w:rPr>
        <w:t>Recommended Portfolio</w:t>
      </w:r>
      <w:r w:rsidR="00033008" w:rsidRPr="003A3A04">
        <w:rPr>
          <w:sz w:val="24"/>
          <w:szCs w:val="24"/>
        </w:rPr>
        <w:t>” based on the resource portfolio expected to</w:t>
      </w:r>
      <w:r w:rsidRPr="003A3A04">
        <w:rPr>
          <w:sz w:val="24"/>
          <w:szCs w:val="24"/>
        </w:rPr>
        <w:t xml:space="preserve"> </w:t>
      </w:r>
      <w:r w:rsidR="00033008" w:rsidRPr="003A3A04">
        <w:rPr>
          <w:sz w:val="24"/>
          <w:szCs w:val="24"/>
        </w:rPr>
        <w:t>reliably serve demand at a reasonable long-term cost, while achieving regulatory compliance,</w:t>
      </w:r>
      <w:r w:rsidRPr="003A3A04">
        <w:rPr>
          <w:sz w:val="24"/>
          <w:szCs w:val="24"/>
        </w:rPr>
        <w:t xml:space="preserve"> </w:t>
      </w:r>
      <w:r w:rsidR="00033008" w:rsidRPr="003A3A04">
        <w:rPr>
          <w:sz w:val="24"/>
          <w:szCs w:val="24"/>
        </w:rPr>
        <w:t>accounting for inherent risks, and allowing for flexibility to respond to future policy changes.</w:t>
      </w:r>
    </w:p>
    <w:p w14:paraId="11433987" w14:textId="0C906935" w:rsidR="00A55BDB" w:rsidRPr="00874A11" w:rsidRDefault="00A55BDB" w:rsidP="00A55BDB">
      <w:pPr>
        <w:pStyle w:val="Heading2"/>
        <w:rPr>
          <w:b w:val="0"/>
          <w:bCs w:val="0"/>
          <w:sz w:val="24"/>
          <w:szCs w:val="24"/>
        </w:rPr>
      </w:pPr>
      <w:bookmarkStart w:id="26" w:name="_Toc153273293"/>
      <w:bookmarkStart w:id="27" w:name="_Toc153451650"/>
      <w:r w:rsidRPr="00874A11">
        <w:rPr>
          <w:bCs w:val="0"/>
          <w:sz w:val="24"/>
          <w:szCs w:val="24"/>
        </w:rPr>
        <w:t xml:space="preserve">Resource </w:t>
      </w:r>
      <w:r w:rsidR="008717F0" w:rsidRPr="00874A11">
        <w:rPr>
          <w:bCs w:val="0"/>
          <w:sz w:val="24"/>
          <w:szCs w:val="24"/>
        </w:rPr>
        <w:t>Portfolios</w:t>
      </w:r>
      <w:bookmarkEnd w:id="26"/>
      <w:bookmarkEnd w:id="27"/>
    </w:p>
    <w:p w14:paraId="1E33AB4C" w14:textId="10EF9070" w:rsidR="005C0154" w:rsidRDefault="005C0154" w:rsidP="00154E06">
      <w:r>
        <w:t xml:space="preserve">The </w:t>
      </w:r>
      <w:r w:rsidR="006E7DCA">
        <w:t xml:space="preserve">District’s </w:t>
      </w:r>
      <w:r w:rsidR="00BB469E">
        <w:t>near-term (2025)</w:t>
      </w:r>
      <w:r>
        <w:t xml:space="preserve"> electric supply portfolio comprises the following major types of resources:</w:t>
      </w:r>
    </w:p>
    <w:p w14:paraId="3F3F4659" w14:textId="7081E2F1" w:rsidR="005C0154" w:rsidRPr="003A3A04" w:rsidRDefault="005C0154" w:rsidP="00874A11">
      <w:pPr>
        <w:pStyle w:val="ListParagraph"/>
        <w:numPr>
          <w:ilvl w:val="0"/>
          <w:numId w:val="13"/>
        </w:numPr>
        <w:rPr>
          <w:rFonts w:cstheme="minorHAnsi"/>
          <w:sz w:val="24"/>
          <w:szCs w:val="24"/>
        </w:rPr>
      </w:pPr>
      <w:r w:rsidRPr="003A3A04">
        <w:rPr>
          <w:rFonts w:cstheme="minorHAnsi"/>
          <w:sz w:val="24"/>
          <w:szCs w:val="24"/>
        </w:rPr>
        <w:t>Energy efficiency</w:t>
      </w:r>
      <w:r w:rsidR="00BB469E" w:rsidRPr="003A3A04">
        <w:rPr>
          <w:rFonts w:cstheme="minorHAnsi"/>
          <w:sz w:val="24"/>
          <w:szCs w:val="24"/>
        </w:rPr>
        <w:t xml:space="preserve"> (EE</w:t>
      </w:r>
      <w:proofErr w:type="gramStart"/>
      <w:r w:rsidR="00BB469E" w:rsidRPr="003A3A04">
        <w:rPr>
          <w:rFonts w:cstheme="minorHAnsi"/>
          <w:sz w:val="24"/>
          <w:szCs w:val="24"/>
        </w:rPr>
        <w:t>)</w:t>
      </w:r>
      <w:r w:rsidRPr="003A3A04">
        <w:rPr>
          <w:rFonts w:cstheme="minorHAnsi"/>
          <w:sz w:val="24"/>
          <w:szCs w:val="24"/>
        </w:rPr>
        <w:t>;</w:t>
      </w:r>
      <w:proofErr w:type="gramEnd"/>
    </w:p>
    <w:p w14:paraId="797A8B19" w14:textId="40E327C1" w:rsidR="005C0154" w:rsidRPr="003A3A04" w:rsidRDefault="005C0154" w:rsidP="00874A11">
      <w:pPr>
        <w:pStyle w:val="ListParagraph"/>
        <w:numPr>
          <w:ilvl w:val="0"/>
          <w:numId w:val="13"/>
        </w:numPr>
        <w:rPr>
          <w:rFonts w:cstheme="minorHAnsi"/>
          <w:sz w:val="24"/>
          <w:szCs w:val="24"/>
        </w:rPr>
      </w:pPr>
      <w:r w:rsidRPr="003A3A04">
        <w:rPr>
          <w:rFonts w:cstheme="minorHAnsi"/>
          <w:sz w:val="24"/>
          <w:szCs w:val="24"/>
        </w:rPr>
        <w:t>Federal hydro (</w:t>
      </w:r>
      <w:r w:rsidR="006E7DCA" w:rsidRPr="003A3A04">
        <w:rPr>
          <w:rFonts w:cstheme="minorHAnsi"/>
          <w:sz w:val="24"/>
          <w:szCs w:val="24"/>
        </w:rPr>
        <w:t xml:space="preserve">Stampede and </w:t>
      </w:r>
      <w:r w:rsidR="00BB469E" w:rsidRPr="003A3A04">
        <w:rPr>
          <w:rFonts w:cstheme="minorHAnsi"/>
          <w:sz w:val="24"/>
          <w:szCs w:val="24"/>
        </w:rPr>
        <w:t>CVP</w:t>
      </w:r>
      <w:proofErr w:type="gramStart"/>
      <w:r w:rsidRPr="003A3A04">
        <w:rPr>
          <w:rFonts w:cstheme="minorHAnsi"/>
          <w:sz w:val="24"/>
          <w:szCs w:val="24"/>
        </w:rPr>
        <w:t>);</w:t>
      </w:r>
      <w:proofErr w:type="gramEnd"/>
    </w:p>
    <w:p w14:paraId="6D37409B" w14:textId="41EC2D43" w:rsidR="005C0154" w:rsidRPr="003A3A04" w:rsidRDefault="00BB469E" w:rsidP="00874A11">
      <w:pPr>
        <w:pStyle w:val="ListParagraph"/>
        <w:numPr>
          <w:ilvl w:val="0"/>
          <w:numId w:val="13"/>
        </w:numPr>
        <w:rPr>
          <w:rFonts w:cstheme="minorHAnsi"/>
          <w:sz w:val="24"/>
          <w:szCs w:val="24"/>
        </w:rPr>
      </w:pPr>
      <w:proofErr w:type="gramStart"/>
      <w:r w:rsidRPr="003A3A04">
        <w:rPr>
          <w:rFonts w:cstheme="minorHAnsi"/>
          <w:sz w:val="24"/>
          <w:szCs w:val="24"/>
        </w:rPr>
        <w:t>Other</w:t>
      </w:r>
      <w:proofErr w:type="gramEnd"/>
      <w:r w:rsidR="005C0154" w:rsidRPr="003A3A04">
        <w:rPr>
          <w:rFonts w:cstheme="minorHAnsi"/>
          <w:sz w:val="24"/>
          <w:szCs w:val="24"/>
        </w:rPr>
        <w:t xml:space="preserve"> hydro (</w:t>
      </w:r>
      <w:r w:rsidRPr="003A3A04">
        <w:rPr>
          <w:rFonts w:cstheme="minorHAnsi"/>
          <w:sz w:val="24"/>
          <w:szCs w:val="24"/>
        </w:rPr>
        <w:t xml:space="preserve">Old and New </w:t>
      </w:r>
      <w:proofErr w:type="spellStart"/>
      <w:r w:rsidRPr="003A3A04">
        <w:rPr>
          <w:rFonts w:cstheme="minorHAnsi"/>
          <w:sz w:val="24"/>
          <w:szCs w:val="24"/>
        </w:rPr>
        <w:t>Lahanton</w:t>
      </w:r>
      <w:proofErr w:type="spellEnd"/>
      <w:r w:rsidRPr="003A3A04">
        <w:rPr>
          <w:rFonts w:cstheme="minorHAnsi"/>
          <w:sz w:val="24"/>
          <w:szCs w:val="24"/>
        </w:rPr>
        <w:t>, and 26 Foot Drop hydro</w:t>
      </w:r>
      <w:r w:rsidR="005C0154" w:rsidRPr="003A3A04">
        <w:rPr>
          <w:rFonts w:cstheme="minorHAnsi"/>
          <w:sz w:val="24"/>
          <w:szCs w:val="24"/>
        </w:rPr>
        <w:t>);</w:t>
      </w:r>
    </w:p>
    <w:p w14:paraId="1F33EB9F" w14:textId="3E966284" w:rsidR="005C0154" w:rsidRPr="003A3A04" w:rsidRDefault="005C0154" w:rsidP="00874A11">
      <w:pPr>
        <w:pStyle w:val="ListParagraph"/>
        <w:numPr>
          <w:ilvl w:val="0"/>
          <w:numId w:val="13"/>
        </w:numPr>
        <w:rPr>
          <w:rFonts w:cstheme="minorHAnsi"/>
          <w:sz w:val="24"/>
          <w:szCs w:val="24"/>
        </w:rPr>
      </w:pPr>
      <w:r w:rsidRPr="003A3A04">
        <w:rPr>
          <w:rFonts w:cstheme="minorHAnsi"/>
          <w:sz w:val="24"/>
          <w:szCs w:val="24"/>
        </w:rPr>
        <w:t>Long-term</w:t>
      </w:r>
      <w:r w:rsidR="00BB469E" w:rsidRPr="003A3A04">
        <w:rPr>
          <w:rFonts w:cstheme="minorHAnsi"/>
          <w:sz w:val="24"/>
          <w:szCs w:val="24"/>
        </w:rPr>
        <w:t xml:space="preserve"> </w:t>
      </w:r>
      <w:r w:rsidRPr="003A3A04">
        <w:rPr>
          <w:rFonts w:cstheme="minorHAnsi"/>
          <w:sz w:val="24"/>
          <w:szCs w:val="24"/>
        </w:rPr>
        <w:t>RPS-eligible PPAs, which include solar, wind,</w:t>
      </w:r>
      <w:r w:rsidR="00BB469E" w:rsidRPr="003A3A04">
        <w:rPr>
          <w:rFonts w:cstheme="minorHAnsi"/>
          <w:sz w:val="24"/>
          <w:szCs w:val="24"/>
        </w:rPr>
        <w:t xml:space="preserve"> </w:t>
      </w:r>
      <w:r w:rsidRPr="003A3A04">
        <w:rPr>
          <w:rFonts w:cstheme="minorHAnsi"/>
          <w:sz w:val="24"/>
          <w:szCs w:val="24"/>
        </w:rPr>
        <w:t xml:space="preserve">and </w:t>
      </w:r>
      <w:r w:rsidR="00BB469E" w:rsidRPr="003A3A04">
        <w:rPr>
          <w:rFonts w:cstheme="minorHAnsi"/>
          <w:sz w:val="24"/>
          <w:szCs w:val="24"/>
        </w:rPr>
        <w:t>waste heat</w:t>
      </w:r>
      <w:r w:rsidRPr="003A3A04">
        <w:rPr>
          <w:rFonts w:cstheme="minorHAnsi"/>
          <w:sz w:val="24"/>
          <w:szCs w:val="24"/>
        </w:rPr>
        <w:t xml:space="preserve"> </w:t>
      </w:r>
      <w:proofErr w:type="gramStart"/>
      <w:r w:rsidRPr="003A3A04">
        <w:rPr>
          <w:rFonts w:cstheme="minorHAnsi"/>
          <w:sz w:val="24"/>
          <w:szCs w:val="24"/>
        </w:rPr>
        <w:t>resources;</w:t>
      </w:r>
      <w:proofErr w:type="gramEnd"/>
    </w:p>
    <w:p w14:paraId="5E956E68" w14:textId="4BF6A7DF" w:rsidR="00BB469E" w:rsidRPr="003A3A04" w:rsidRDefault="00BB469E" w:rsidP="00BB469E">
      <w:pPr>
        <w:pStyle w:val="ListParagraph"/>
        <w:numPr>
          <w:ilvl w:val="0"/>
          <w:numId w:val="13"/>
        </w:numPr>
        <w:rPr>
          <w:rFonts w:cstheme="minorHAnsi"/>
          <w:sz w:val="24"/>
          <w:szCs w:val="24"/>
        </w:rPr>
      </w:pPr>
      <w:r w:rsidRPr="003A3A04">
        <w:rPr>
          <w:rFonts w:cstheme="minorHAnsi"/>
          <w:sz w:val="24"/>
          <w:szCs w:val="24"/>
        </w:rPr>
        <w:t xml:space="preserve">Natural </w:t>
      </w:r>
      <w:r w:rsidR="00BC5F64" w:rsidRPr="003A3A04">
        <w:rPr>
          <w:rFonts w:cstheme="minorHAnsi"/>
          <w:sz w:val="24"/>
          <w:szCs w:val="24"/>
        </w:rPr>
        <w:t>g</w:t>
      </w:r>
      <w:r w:rsidRPr="003A3A04">
        <w:rPr>
          <w:rFonts w:cstheme="minorHAnsi"/>
          <w:sz w:val="24"/>
          <w:szCs w:val="24"/>
        </w:rPr>
        <w:t>as</w:t>
      </w:r>
      <w:r w:rsidR="00BC5F64" w:rsidRPr="003A3A04">
        <w:rPr>
          <w:rFonts w:cstheme="minorHAnsi"/>
          <w:sz w:val="24"/>
          <w:szCs w:val="24"/>
        </w:rPr>
        <w:t>-f</w:t>
      </w:r>
      <w:r w:rsidRPr="003A3A04">
        <w:rPr>
          <w:rFonts w:cstheme="minorHAnsi"/>
          <w:sz w:val="24"/>
          <w:szCs w:val="24"/>
        </w:rPr>
        <w:t>ired (Nebo</w:t>
      </w:r>
      <w:proofErr w:type="gramStart"/>
      <w:r w:rsidRPr="003A3A04">
        <w:rPr>
          <w:rFonts w:cstheme="minorHAnsi"/>
          <w:sz w:val="24"/>
          <w:szCs w:val="24"/>
        </w:rPr>
        <w:t>);</w:t>
      </w:r>
      <w:proofErr w:type="gramEnd"/>
    </w:p>
    <w:p w14:paraId="56D57FD2" w14:textId="27FD7E25" w:rsidR="00BB469E" w:rsidRPr="003A3A04" w:rsidRDefault="00BB469E" w:rsidP="00874A11">
      <w:pPr>
        <w:pStyle w:val="ListParagraph"/>
        <w:numPr>
          <w:ilvl w:val="0"/>
          <w:numId w:val="13"/>
        </w:numPr>
        <w:rPr>
          <w:rFonts w:cstheme="minorHAnsi"/>
          <w:sz w:val="24"/>
          <w:szCs w:val="24"/>
        </w:rPr>
      </w:pPr>
      <w:r w:rsidRPr="003A3A04">
        <w:rPr>
          <w:rFonts w:cstheme="minorHAnsi"/>
          <w:sz w:val="24"/>
          <w:szCs w:val="24"/>
        </w:rPr>
        <w:t>Contracted and spot m</w:t>
      </w:r>
      <w:r w:rsidR="005C0154" w:rsidRPr="003A3A04">
        <w:rPr>
          <w:rFonts w:cstheme="minorHAnsi"/>
          <w:sz w:val="24"/>
          <w:szCs w:val="24"/>
        </w:rPr>
        <w:t>arket power purchases</w:t>
      </w:r>
      <w:r w:rsidRPr="003A3A04">
        <w:rPr>
          <w:rFonts w:cstheme="minorHAnsi"/>
          <w:sz w:val="24"/>
          <w:szCs w:val="24"/>
        </w:rPr>
        <w:t xml:space="preserve"> </w:t>
      </w:r>
      <w:r w:rsidR="005C0154" w:rsidRPr="003A3A04">
        <w:rPr>
          <w:rFonts w:cstheme="minorHAnsi"/>
          <w:sz w:val="24"/>
          <w:szCs w:val="24"/>
        </w:rPr>
        <w:t>for monthly/hourly portfolio balancing.</w:t>
      </w:r>
    </w:p>
    <w:p w14:paraId="6A70EE40" w14:textId="375EED6F" w:rsidR="004D03FD" w:rsidRDefault="005C0154" w:rsidP="005C0154">
      <w:r>
        <w:t>For calendar year 202</w:t>
      </w:r>
      <w:r w:rsidR="00BB469E">
        <w:t>5</w:t>
      </w:r>
      <w:r>
        <w:t xml:space="preserve">, the projected contribution of </w:t>
      </w:r>
      <w:r w:rsidR="006E7DCA">
        <w:t xml:space="preserve">the supply </w:t>
      </w:r>
      <w:r>
        <w:t>resource</w:t>
      </w:r>
      <w:r w:rsidR="006E7DCA">
        <w:t>s</w:t>
      </w:r>
      <w:r>
        <w:t xml:space="preserve"> to the </w:t>
      </w:r>
      <w:r w:rsidR="00BB469E">
        <w:t>District</w:t>
      </w:r>
      <w:r>
        <w:t>’s</w:t>
      </w:r>
      <w:r w:rsidR="00BB469E">
        <w:t xml:space="preserve"> </w:t>
      </w:r>
      <w:r>
        <w:t xml:space="preserve">overall electric supply portfolio is represented in Figure </w:t>
      </w:r>
      <w:r w:rsidR="00502CEA">
        <w:t xml:space="preserve">9 </w:t>
      </w:r>
      <w:r>
        <w:t>below.</w:t>
      </w:r>
    </w:p>
    <w:p w14:paraId="6257A5E2" w14:textId="4FC78A4C" w:rsidR="0081420E" w:rsidRPr="00874A11" w:rsidRDefault="0081420E" w:rsidP="00154E06">
      <w:pPr>
        <w:keepNext/>
        <w:jc w:val="center"/>
        <w:rPr>
          <w:b/>
          <w:bCs/>
        </w:rPr>
      </w:pPr>
      <w:r w:rsidRPr="00874A11">
        <w:rPr>
          <w:b/>
          <w:bCs/>
        </w:rPr>
        <w:lastRenderedPageBreak/>
        <w:t xml:space="preserve">Figure </w:t>
      </w:r>
      <w:r w:rsidR="00502CEA">
        <w:rPr>
          <w:b/>
          <w:bCs/>
        </w:rPr>
        <w:t>9</w:t>
      </w:r>
      <w:r w:rsidRPr="00874A11">
        <w:rPr>
          <w:b/>
          <w:bCs/>
        </w:rPr>
        <w:t>: Projected District Electric Supply Mix in CY 2025 by Resource Type</w:t>
      </w:r>
    </w:p>
    <w:p w14:paraId="0039C982" w14:textId="27A15EB7" w:rsidR="0081420E" w:rsidRPr="00874A11" w:rsidRDefault="0081420E" w:rsidP="00154E06">
      <w:pPr>
        <w:keepNext/>
        <w:jc w:val="center"/>
        <w:rPr>
          <w:b/>
          <w:bCs/>
          <w:sz w:val="22"/>
          <w:szCs w:val="22"/>
        </w:rPr>
      </w:pPr>
      <w:r w:rsidRPr="00874A11">
        <w:rPr>
          <w:b/>
          <w:bCs/>
          <w:sz w:val="22"/>
          <w:szCs w:val="22"/>
        </w:rPr>
        <w:t xml:space="preserve">* Estimated Average Annual Unit Cost of </w:t>
      </w:r>
      <w:r>
        <w:rPr>
          <w:b/>
          <w:bCs/>
          <w:sz w:val="22"/>
          <w:szCs w:val="22"/>
        </w:rPr>
        <w:t>9</w:t>
      </w:r>
      <w:r w:rsidR="003367E3">
        <w:rPr>
          <w:b/>
          <w:bCs/>
          <w:sz w:val="22"/>
          <w:szCs w:val="22"/>
        </w:rPr>
        <w:t>.9</w:t>
      </w:r>
      <w:r w:rsidRPr="00874A11">
        <w:rPr>
          <w:b/>
          <w:bCs/>
          <w:sz w:val="22"/>
          <w:szCs w:val="22"/>
        </w:rPr>
        <w:t xml:space="preserve"> ¢/kWh *</w:t>
      </w:r>
    </w:p>
    <w:p w14:paraId="5A5DCEA7" w14:textId="0B362CD2" w:rsidR="0081420E" w:rsidRPr="004D03FD" w:rsidRDefault="0081420E" w:rsidP="00874A11">
      <w:pPr>
        <w:jc w:val="center"/>
      </w:pPr>
      <w:r>
        <w:rPr>
          <w:noProof/>
        </w:rPr>
        <w:drawing>
          <wp:inline distT="0" distB="0" distL="0" distR="0" wp14:anchorId="38622631" wp14:editId="4D9DC7C6">
            <wp:extent cx="4699000" cy="3380403"/>
            <wp:effectExtent l="0" t="0" r="0" b="0"/>
            <wp:docPr id="308172630" name="Picture 308172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172630" name=""/>
                    <pic:cNvPicPr/>
                  </pic:nvPicPr>
                  <pic:blipFill>
                    <a:blip r:embed="rId40"/>
                    <a:stretch>
                      <a:fillRect/>
                    </a:stretch>
                  </pic:blipFill>
                  <pic:spPr>
                    <a:xfrm>
                      <a:off x="0" y="0"/>
                      <a:ext cx="4703372" cy="3383548"/>
                    </a:xfrm>
                    <a:prstGeom prst="rect">
                      <a:avLst/>
                    </a:prstGeom>
                  </pic:spPr>
                </pic:pic>
              </a:graphicData>
            </a:graphic>
          </wp:inline>
        </w:drawing>
      </w:r>
    </w:p>
    <w:p w14:paraId="109B5720" w14:textId="5E6EEE0D" w:rsidR="002A075C" w:rsidRDefault="001969EF" w:rsidP="003A3A04">
      <w:pPr>
        <w:spacing w:before="120"/>
      </w:pPr>
      <w:r w:rsidRPr="00874A11">
        <w:t xml:space="preserve">By applying the six (6) steps </w:t>
      </w:r>
      <w:r w:rsidRPr="001969EF">
        <w:t>des</w:t>
      </w:r>
      <w:r>
        <w:t>cribed</w:t>
      </w:r>
      <w:r w:rsidRPr="00874A11">
        <w:t xml:space="preserve"> under the IRP Methodology</w:t>
      </w:r>
      <w:r>
        <w:t>, we determined</w:t>
      </w:r>
      <w:r w:rsidR="00C56650">
        <w:t xml:space="preserve"> </w:t>
      </w:r>
      <w:r w:rsidR="002A075C">
        <w:t>the</w:t>
      </w:r>
      <w:r w:rsidR="00C56650">
        <w:t xml:space="preserve"> recommended resource portfolio </w:t>
      </w:r>
      <w:r w:rsidR="002A075C">
        <w:t>that selects the resources as shown in Table 5 below.</w:t>
      </w:r>
    </w:p>
    <w:p w14:paraId="2C63DE84" w14:textId="77777777" w:rsidR="002A075C" w:rsidRDefault="002A075C" w:rsidP="002A075C">
      <w:pPr>
        <w:jc w:val="center"/>
      </w:pPr>
    </w:p>
    <w:p w14:paraId="3AF4DF02" w14:textId="3B920F40" w:rsidR="002A075C" w:rsidRDefault="002A075C" w:rsidP="00B52E15">
      <w:pPr>
        <w:keepNext/>
        <w:spacing w:after="120"/>
        <w:jc w:val="center"/>
        <w:rPr>
          <w:b/>
          <w:bCs/>
        </w:rPr>
      </w:pPr>
      <w:r w:rsidRPr="00C855C7">
        <w:rPr>
          <w:b/>
          <w:bCs/>
        </w:rPr>
        <w:lastRenderedPageBreak/>
        <w:t xml:space="preserve">Table </w:t>
      </w:r>
      <w:r w:rsidR="000626CC">
        <w:rPr>
          <w:b/>
          <w:bCs/>
        </w:rPr>
        <w:t>5</w:t>
      </w:r>
      <w:r w:rsidRPr="00C855C7">
        <w:rPr>
          <w:b/>
          <w:bCs/>
        </w:rPr>
        <w:t xml:space="preserve">: </w:t>
      </w:r>
      <w:r w:rsidR="000626CC">
        <w:rPr>
          <w:b/>
          <w:bCs/>
        </w:rPr>
        <w:t xml:space="preserve">Recommended </w:t>
      </w:r>
      <w:r w:rsidR="00F427AD">
        <w:rPr>
          <w:b/>
          <w:bCs/>
        </w:rPr>
        <w:t>Resource</w:t>
      </w:r>
      <w:r w:rsidR="000626CC">
        <w:rPr>
          <w:b/>
          <w:bCs/>
        </w:rPr>
        <w:t xml:space="preserve"> Portfolio Selection*</w:t>
      </w:r>
    </w:p>
    <w:tbl>
      <w:tblPr>
        <w:tblW w:w="8365" w:type="dxa"/>
        <w:tblLook w:val="04A0" w:firstRow="1" w:lastRow="0" w:firstColumn="1" w:lastColumn="0" w:noHBand="0" w:noVBand="1"/>
      </w:tblPr>
      <w:tblGrid>
        <w:gridCol w:w="4505"/>
        <w:gridCol w:w="1372"/>
        <w:gridCol w:w="1228"/>
        <w:gridCol w:w="1260"/>
      </w:tblGrid>
      <w:tr w:rsidR="00F427AD" w:rsidRPr="00F427AD" w14:paraId="57F5E87F" w14:textId="77777777" w:rsidTr="00874A11">
        <w:trPr>
          <w:trHeight w:val="301"/>
          <w:tblHeader/>
        </w:trPr>
        <w:tc>
          <w:tcPr>
            <w:tcW w:w="45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1A3ACE" w14:textId="64D17BAF" w:rsidR="000626CC" w:rsidRPr="00874A11" w:rsidRDefault="000626CC" w:rsidP="00154E06">
            <w:pPr>
              <w:keepNext/>
              <w:rPr>
                <w:rFonts w:ascii="Calibri" w:hAnsi="Calibri" w:cs="Calibri"/>
                <w:b/>
                <w:bCs/>
                <w:color w:val="000000"/>
                <w:sz w:val="22"/>
                <w:szCs w:val="22"/>
              </w:rPr>
            </w:pPr>
            <w:r w:rsidRPr="00874A11">
              <w:rPr>
                <w:rFonts w:ascii="Calibri" w:hAnsi="Calibri" w:cs="Calibri"/>
                <w:b/>
                <w:bCs/>
                <w:color w:val="000000"/>
                <w:sz w:val="22"/>
                <w:szCs w:val="22"/>
              </w:rPr>
              <w:t>Resources</w:t>
            </w:r>
          </w:p>
        </w:tc>
        <w:tc>
          <w:tcPr>
            <w:tcW w:w="1372" w:type="dxa"/>
            <w:tcBorders>
              <w:top w:val="single" w:sz="4" w:space="0" w:color="auto"/>
              <w:left w:val="nil"/>
              <w:bottom w:val="single" w:sz="4" w:space="0" w:color="auto"/>
              <w:right w:val="single" w:sz="4" w:space="0" w:color="auto"/>
            </w:tcBorders>
            <w:shd w:val="clear" w:color="auto" w:fill="auto"/>
            <w:noWrap/>
            <w:vAlign w:val="bottom"/>
            <w:hideMark/>
          </w:tcPr>
          <w:p w14:paraId="7D4E9B3E" w14:textId="77777777" w:rsidR="000626CC" w:rsidRPr="00874A11" w:rsidRDefault="000626CC" w:rsidP="00154E06">
            <w:pPr>
              <w:keepNext/>
              <w:jc w:val="right"/>
              <w:rPr>
                <w:rFonts w:ascii="Calibri" w:hAnsi="Calibri" w:cs="Calibri"/>
                <w:b/>
                <w:bCs/>
                <w:color w:val="000000"/>
                <w:sz w:val="22"/>
                <w:szCs w:val="22"/>
              </w:rPr>
            </w:pPr>
            <w:r w:rsidRPr="00874A11">
              <w:rPr>
                <w:rFonts w:ascii="Calibri" w:hAnsi="Calibri" w:cs="Calibri"/>
                <w:b/>
                <w:bCs/>
                <w:color w:val="000000"/>
                <w:sz w:val="22"/>
                <w:szCs w:val="22"/>
              </w:rPr>
              <w:t xml:space="preserve">Start Year </w:t>
            </w:r>
          </w:p>
        </w:tc>
        <w:tc>
          <w:tcPr>
            <w:tcW w:w="1228" w:type="dxa"/>
            <w:tcBorders>
              <w:top w:val="single" w:sz="4" w:space="0" w:color="auto"/>
              <w:left w:val="nil"/>
              <w:bottom w:val="single" w:sz="4" w:space="0" w:color="auto"/>
              <w:right w:val="single" w:sz="4" w:space="0" w:color="auto"/>
            </w:tcBorders>
            <w:shd w:val="clear" w:color="auto" w:fill="auto"/>
            <w:noWrap/>
            <w:vAlign w:val="bottom"/>
            <w:hideMark/>
          </w:tcPr>
          <w:p w14:paraId="4BA69262" w14:textId="77777777" w:rsidR="000626CC" w:rsidRPr="00874A11" w:rsidRDefault="000626CC" w:rsidP="00154E06">
            <w:pPr>
              <w:keepNext/>
              <w:jc w:val="right"/>
              <w:rPr>
                <w:rFonts w:ascii="Calibri" w:hAnsi="Calibri" w:cs="Calibri"/>
                <w:b/>
                <w:bCs/>
                <w:color w:val="000000"/>
                <w:sz w:val="22"/>
                <w:szCs w:val="22"/>
              </w:rPr>
            </w:pPr>
            <w:r w:rsidRPr="00874A11">
              <w:rPr>
                <w:rFonts w:ascii="Calibri" w:hAnsi="Calibri" w:cs="Calibri"/>
                <w:b/>
                <w:bCs/>
                <w:color w:val="000000"/>
                <w:sz w:val="22"/>
                <w:szCs w:val="22"/>
              </w:rPr>
              <w:t xml:space="preserve">End Year </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504A92FE" w14:textId="77777777" w:rsidR="000626CC" w:rsidRPr="00874A11" w:rsidRDefault="000626CC" w:rsidP="00154E06">
            <w:pPr>
              <w:keepNext/>
              <w:jc w:val="center"/>
              <w:rPr>
                <w:rFonts w:ascii="Calibri" w:hAnsi="Calibri" w:cs="Calibri"/>
                <w:b/>
                <w:bCs/>
                <w:color w:val="000000"/>
                <w:sz w:val="22"/>
                <w:szCs w:val="22"/>
              </w:rPr>
            </w:pPr>
            <w:r w:rsidRPr="00874A11">
              <w:rPr>
                <w:rFonts w:ascii="Calibri" w:hAnsi="Calibri" w:cs="Calibri"/>
                <w:b/>
                <w:bCs/>
                <w:color w:val="000000"/>
                <w:sz w:val="22"/>
                <w:szCs w:val="22"/>
              </w:rPr>
              <w:t>Capacity</w:t>
            </w:r>
          </w:p>
        </w:tc>
      </w:tr>
      <w:tr w:rsidR="00F427AD" w:rsidRPr="00F427AD" w14:paraId="5E1FBD5A" w14:textId="77777777" w:rsidTr="00874A11">
        <w:trPr>
          <w:trHeight w:val="301"/>
        </w:trPr>
        <w:tc>
          <w:tcPr>
            <w:tcW w:w="4505" w:type="dxa"/>
            <w:tcBorders>
              <w:top w:val="nil"/>
              <w:left w:val="single" w:sz="4" w:space="0" w:color="auto"/>
              <w:bottom w:val="single" w:sz="4" w:space="0" w:color="auto"/>
              <w:right w:val="single" w:sz="4" w:space="0" w:color="auto"/>
            </w:tcBorders>
            <w:shd w:val="clear" w:color="000000" w:fill="92D050"/>
            <w:noWrap/>
            <w:vAlign w:val="bottom"/>
            <w:hideMark/>
          </w:tcPr>
          <w:p w14:paraId="0FE54241" w14:textId="77777777" w:rsidR="000626CC" w:rsidRPr="00874A11" w:rsidRDefault="000626CC" w:rsidP="00154E06">
            <w:pPr>
              <w:keepNext/>
              <w:rPr>
                <w:rFonts w:ascii="Calibri" w:hAnsi="Calibri" w:cs="Calibri"/>
                <w:color w:val="000000"/>
                <w:sz w:val="22"/>
                <w:szCs w:val="22"/>
              </w:rPr>
            </w:pPr>
            <w:r w:rsidRPr="00874A11">
              <w:rPr>
                <w:rFonts w:ascii="Calibri" w:hAnsi="Calibri" w:cs="Calibri"/>
                <w:color w:val="000000"/>
                <w:sz w:val="22"/>
                <w:szCs w:val="22"/>
              </w:rPr>
              <w:t>Horse Butte Wind Phase I</w:t>
            </w:r>
          </w:p>
        </w:tc>
        <w:tc>
          <w:tcPr>
            <w:tcW w:w="1372" w:type="dxa"/>
            <w:tcBorders>
              <w:top w:val="nil"/>
              <w:left w:val="nil"/>
              <w:bottom w:val="single" w:sz="4" w:space="0" w:color="auto"/>
              <w:right w:val="single" w:sz="4" w:space="0" w:color="auto"/>
            </w:tcBorders>
            <w:shd w:val="clear" w:color="auto" w:fill="auto"/>
            <w:noWrap/>
            <w:vAlign w:val="bottom"/>
            <w:hideMark/>
          </w:tcPr>
          <w:p w14:paraId="692B8397" w14:textId="77777777" w:rsidR="000626CC" w:rsidRPr="00874A11" w:rsidRDefault="000626CC" w:rsidP="00154E06">
            <w:pPr>
              <w:keepNext/>
              <w:jc w:val="right"/>
              <w:rPr>
                <w:rFonts w:ascii="Calibri" w:hAnsi="Calibri" w:cs="Calibri"/>
                <w:color w:val="000000"/>
                <w:sz w:val="22"/>
                <w:szCs w:val="22"/>
              </w:rPr>
            </w:pPr>
            <w:r w:rsidRPr="00874A11">
              <w:rPr>
                <w:rFonts w:ascii="Calibri" w:hAnsi="Calibri" w:cs="Calibri"/>
                <w:color w:val="000000"/>
                <w:sz w:val="22"/>
                <w:szCs w:val="22"/>
              </w:rPr>
              <w:t>2024</w:t>
            </w:r>
          </w:p>
        </w:tc>
        <w:tc>
          <w:tcPr>
            <w:tcW w:w="1228" w:type="dxa"/>
            <w:tcBorders>
              <w:top w:val="nil"/>
              <w:left w:val="nil"/>
              <w:bottom w:val="single" w:sz="4" w:space="0" w:color="auto"/>
              <w:right w:val="single" w:sz="4" w:space="0" w:color="auto"/>
            </w:tcBorders>
            <w:shd w:val="clear" w:color="auto" w:fill="auto"/>
            <w:noWrap/>
            <w:vAlign w:val="center"/>
            <w:hideMark/>
          </w:tcPr>
          <w:p w14:paraId="456418BD" w14:textId="77777777" w:rsidR="000626CC" w:rsidRPr="00874A11" w:rsidRDefault="000626CC" w:rsidP="00154E06">
            <w:pPr>
              <w:keepNext/>
              <w:jc w:val="center"/>
              <w:rPr>
                <w:rFonts w:ascii="Calibri" w:hAnsi="Calibri" w:cs="Calibri"/>
                <w:color w:val="000000"/>
                <w:sz w:val="22"/>
                <w:szCs w:val="22"/>
              </w:rPr>
            </w:pPr>
            <w:r w:rsidRPr="00874A11">
              <w:rPr>
                <w:rFonts w:ascii="Calibri" w:hAnsi="Calibri" w:cs="Calibri"/>
                <w:color w:val="000000"/>
                <w:sz w:val="22"/>
                <w:szCs w:val="22"/>
              </w:rPr>
              <w:t>N/A</w:t>
            </w:r>
          </w:p>
        </w:tc>
        <w:tc>
          <w:tcPr>
            <w:tcW w:w="1260" w:type="dxa"/>
            <w:tcBorders>
              <w:top w:val="nil"/>
              <w:left w:val="nil"/>
              <w:bottom w:val="single" w:sz="4" w:space="0" w:color="auto"/>
              <w:right w:val="single" w:sz="4" w:space="0" w:color="auto"/>
            </w:tcBorders>
            <w:shd w:val="clear" w:color="auto" w:fill="auto"/>
            <w:noWrap/>
            <w:vAlign w:val="bottom"/>
            <w:hideMark/>
          </w:tcPr>
          <w:p w14:paraId="2C15DF2E" w14:textId="77777777" w:rsidR="000626CC" w:rsidRPr="00874A11" w:rsidRDefault="000626CC" w:rsidP="00154E06">
            <w:pPr>
              <w:keepNext/>
              <w:jc w:val="right"/>
              <w:rPr>
                <w:rFonts w:ascii="Calibri" w:hAnsi="Calibri" w:cs="Calibri"/>
                <w:color w:val="000000"/>
                <w:sz w:val="22"/>
                <w:szCs w:val="22"/>
              </w:rPr>
            </w:pPr>
            <w:r w:rsidRPr="00874A11">
              <w:rPr>
                <w:rFonts w:ascii="Calibri" w:hAnsi="Calibri" w:cs="Calibri"/>
                <w:color w:val="000000"/>
                <w:sz w:val="22"/>
                <w:szCs w:val="22"/>
              </w:rPr>
              <w:t>15.00</w:t>
            </w:r>
          </w:p>
        </w:tc>
      </w:tr>
      <w:tr w:rsidR="00F427AD" w:rsidRPr="00F427AD" w14:paraId="5ACF8613" w14:textId="77777777" w:rsidTr="00874A11">
        <w:trPr>
          <w:trHeight w:val="301"/>
        </w:trPr>
        <w:tc>
          <w:tcPr>
            <w:tcW w:w="4505" w:type="dxa"/>
            <w:tcBorders>
              <w:top w:val="nil"/>
              <w:left w:val="single" w:sz="4" w:space="0" w:color="auto"/>
              <w:bottom w:val="single" w:sz="4" w:space="0" w:color="auto"/>
              <w:right w:val="single" w:sz="4" w:space="0" w:color="auto"/>
            </w:tcBorders>
            <w:shd w:val="clear" w:color="000000" w:fill="92D050"/>
            <w:noWrap/>
            <w:vAlign w:val="bottom"/>
            <w:hideMark/>
          </w:tcPr>
          <w:p w14:paraId="02B01724" w14:textId="77777777" w:rsidR="000626CC" w:rsidRPr="00874A11" w:rsidRDefault="000626CC" w:rsidP="00154E06">
            <w:pPr>
              <w:keepNext/>
              <w:rPr>
                <w:rFonts w:ascii="Calibri" w:hAnsi="Calibri" w:cs="Calibri"/>
                <w:color w:val="000000"/>
                <w:sz w:val="22"/>
                <w:szCs w:val="22"/>
              </w:rPr>
            </w:pPr>
            <w:r w:rsidRPr="00874A11">
              <w:rPr>
                <w:rFonts w:ascii="Calibri" w:hAnsi="Calibri" w:cs="Calibri"/>
                <w:color w:val="000000"/>
                <w:sz w:val="22"/>
                <w:szCs w:val="22"/>
              </w:rPr>
              <w:t>Pleasant Valley Wind</w:t>
            </w:r>
          </w:p>
        </w:tc>
        <w:tc>
          <w:tcPr>
            <w:tcW w:w="1372" w:type="dxa"/>
            <w:tcBorders>
              <w:top w:val="nil"/>
              <w:left w:val="nil"/>
              <w:bottom w:val="single" w:sz="4" w:space="0" w:color="auto"/>
              <w:right w:val="single" w:sz="4" w:space="0" w:color="auto"/>
            </w:tcBorders>
            <w:shd w:val="clear" w:color="auto" w:fill="auto"/>
            <w:noWrap/>
            <w:vAlign w:val="bottom"/>
            <w:hideMark/>
          </w:tcPr>
          <w:p w14:paraId="387473B4" w14:textId="77777777" w:rsidR="000626CC" w:rsidRPr="00874A11" w:rsidRDefault="000626CC" w:rsidP="00154E06">
            <w:pPr>
              <w:keepNext/>
              <w:jc w:val="right"/>
              <w:rPr>
                <w:rFonts w:ascii="Calibri" w:hAnsi="Calibri" w:cs="Calibri"/>
                <w:color w:val="000000"/>
                <w:sz w:val="22"/>
                <w:szCs w:val="22"/>
              </w:rPr>
            </w:pPr>
            <w:r w:rsidRPr="00874A11">
              <w:rPr>
                <w:rFonts w:ascii="Calibri" w:hAnsi="Calibri" w:cs="Calibri"/>
                <w:color w:val="000000"/>
                <w:sz w:val="22"/>
                <w:szCs w:val="22"/>
              </w:rPr>
              <w:t>2024</w:t>
            </w:r>
          </w:p>
        </w:tc>
        <w:tc>
          <w:tcPr>
            <w:tcW w:w="1228" w:type="dxa"/>
            <w:tcBorders>
              <w:top w:val="nil"/>
              <w:left w:val="nil"/>
              <w:bottom w:val="single" w:sz="4" w:space="0" w:color="auto"/>
              <w:right w:val="single" w:sz="4" w:space="0" w:color="auto"/>
            </w:tcBorders>
            <w:shd w:val="clear" w:color="auto" w:fill="auto"/>
            <w:noWrap/>
            <w:vAlign w:val="center"/>
            <w:hideMark/>
          </w:tcPr>
          <w:p w14:paraId="6687A000" w14:textId="77777777" w:rsidR="000626CC" w:rsidRPr="00874A11" w:rsidRDefault="000626CC" w:rsidP="00154E06">
            <w:pPr>
              <w:keepNext/>
              <w:jc w:val="center"/>
              <w:rPr>
                <w:rFonts w:ascii="Calibri" w:hAnsi="Calibri" w:cs="Calibri"/>
                <w:color w:val="000000"/>
                <w:sz w:val="22"/>
                <w:szCs w:val="22"/>
              </w:rPr>
            </w:pPr>
            <w:r w:rsidRPr="00874A11">
              <w:rPr>
                <w:rFonts w:ascii="Calibri" w:hAnsi="Calibri" w:cs="Calibri"/>
                <w:color w:val="000000"/>
                <w:sz w:val="22"/>
                <w:szCs w:val="22"/>
              </w:rPr>
              <w:t>N/A</w:t>
            </w:r>
          </w:p>
        </w:tc>
        <w:tc>
          <w:tcPr>
            <w:tcW w:w="1260" w:type="dxa"/>
            <w:tcBorders>
              <w:top w:val="nil"/>
              <w:left w:val="nil"/>
              <w:bottom w:val="single" w:sz="4" w:space="0" w:color="auto"/>
              <w:right w:val="single" w:sz="4" w:space="0" w:color="auto"/>
            </w:tcBorders>
            <w:shd w:val="clear" w:color="auto" w:fill="auto"/>
            <w:noWrap/>
            <w:vAlign w:val="bottom"/>
            <w:hideMark/>
          </w:tcPr>
          <w:p w14:paraId="7C120826" w14:textId="77777777" w:rsidR="000626CC" w:rsidRPr="00874A11" w:rsidRDefault="000626CC" w:rsidP="00154E06">
            <w:pPr>
              <w:keepNext/>
              <w:jc w:val="right"/>
              <w:rPr>
                <w:rFonts w:ascii="Calibri" w:hAnsi="Calibri" w:cs="Calibri"/>
                <w:color w:val="000000"/>
                <w:sz w:val="22"/>
                <w:szCs w:val="22"/>
              </w:rPr>
            </w:pPr>
            <w:r w:rsidRPr="00874A11">
              <w:rPr>
                <w:rFonts w:ascii="Calibri" w:hAnsi="Calibri" w:cs="Calibri"/>
                <w:color w:val="000000"/>
                <w:sz w:val="22"/>
                <w:szCs w:val="22"/>
              </w:rPr>
              <w:t>0.25</w:t>
            </w:r>
          </w:p>
        </w:tc>
      </w:tr>
      <w:tr w:rsidR="00F427AD" w:rsidRPr="00F427AD" w14:paraId="6062531C" w14:textId="77777777" w:rsidTr="00874A11">
        <w:trPr>
          <w:trHeight w:val="301"/>
        </w:trPr>
        <w:tc>
          <w:tcPr>
            <w:tcW w:w="4505" w:type="dxa"/>
            <w:tcBorders>
              <w:top w:val="nil"/>
              <w:left w:val="single" w:sz="4" w:space="0" w:color="auto"/>
              <w:bottom w:val="single" w:sz="4" w:space="0" w:color="auto"/>
              <w:right w:val="single" w:sz="4" w:space="0" w:color="auto"/>
            </w:tcBorders>
            <w:shd w:val="clear" w:color="000000" w:fill="92D050"/>
            <w:noWrap/>
            <w:vAlign w:val="bottom"/>
            <w:hideMark/>
          </w:tcPr>
          <w:p w14:paraId="665772DF" w14:textId="77777777" w:rsidR="000626CC" w:rsidRPr="00874A11" w:rsidRDefault="000626CC" w:rsidP="00154E06">
            <w:pPr>
              <w:keepNext/>
              <w:rPr>
                <w:rFonts w:ascii="Calibri" w:hAnsi="Calibri" w:cs="Calibri"/>
                <w:color w:val="000000"/>
                <w:sz w:val="22"/>
                <w:szCs w:val="22"/>
              </w:rPr>
            </w:pPr>
            <w:r w:rsidRPr="00874A11">
              <w:rPr>
                <w:rFonts w:ascii="Calibri" w:hAnsi="Calibri" w:cs="Calibri"/>
                <w:color w:val="000000"/>
                <w:sz w:val="22"/>
                <w:szCs w:val="22"/>
              </w:rPr>
              <w:t>Trans-Jordan Landfill Gas</w:t>
            </w:r>
          </w:p>
        </w:tc>
        <w:tc>
          <w:tcPr>
            <w:tcW w:w="1372" w:type="dxa"/>
            <w:tcBorders>
              <w:top w:val="nil"/>
              <w:left w:val="nil"/>
              <w:bottom w:val="single" w:sz="4" w:space="0" w:color="auto"/>
              <w:right w:val="single" w:sz="4" w:space="0" w:color="auto"/>
            </w:tcBorders>
            <w:shd w:val="clear" w:color="auto" w:fill="auto"/>
            <w:noWrap/>
            <w:vAlign w:val="bottom"/>
            <w:hideMark/>
          </w:tcPr>
          <w:p w14:paraId="43DECB66" w14:textId="77777777" w:rsidR="000626CC" w:rsidRPr="00874A11" w:rsidRDefault="000626CC" w:rsidP="00154E06">
            <w:pPr>
              <w:keepNext/>
              <w:jc w:val="right"/>
              <w:rPr>
                <w:rFonts w:ascii="Calibri" w:hAnsi="Calibri" w:cs="Calibri"/>
                <w:color w:val="000000"/>
                <w:sz w:val="22"/>
                <w:szCs w:val="22"/>
              </w:rPr>
            </w:pPr>
            <w:r w:rsidRPr="00874A11">
              <w:rPr>
                <w:rFonts w:ascii="Calibri" w:hAnsi="Calibri" w:cs="Calibri"/>
                <w:color w:val="000000"/>
                <w:sz w:val="22"/>
                <w:szCs w:val="22"/>
              </w:rPr>
              <w:t>2024</w:t>
            </w:r>
          </w:p>
        </w:tc>
        <w:tc>
          <w:tcPr>
            <w:tcW w:w="1228" w:type="dxa"/>
            <w:tcBorders>
              <w:top w:val="nil"/>
              <w:left w:val="nil"/>
              <w:bottom w:val="single" w:sz="4" w:space="0" w:color="auto"/>
              <w:right w:val="single" w:sz="4" w:space="0" w:color="auto"/>
            </w:tcBorders>
            <w:shd w:val="clear" w:color="auto" w:fill="auto"/>
            <w:noWrap/>
            <w:vAlign w:val="center"/>
            <w:hideMark/>
          </w:tcPr>
          <w:p w14:paraId="552DE198" w14:textId="77777777" w:rsidR="000626CC" w:rsidRPr="00874A11" w:rsidRDefault="000626CC" w:rsidP="00154E06">
            <w:pPr>
              <w:keepNext/>
              <w:jc w:val="center"/>
              <w:rPr>
                <w:rFonts w:ascii="Calibri" w:hAnsi="Calibri" w:cs="Calibri"/>
                <w:color w:val="000000"/>
                <w:sz w:val="22"/>
                <w:szCs w:val="22"/>
              </w:rPr>
            </w:pPr>
            <w:r w:rsidRPr="00874A11">
              <w:rPr>
                <w:rFonts w:ascii="Calibri" w:hAnsi="Calibri" w:cs="Calibri"/>
                <w:color w:val="000000"/>
                <w:sz w:val="22"/>
                <w:szCs w:val="22"/>
              </w:rPr>
              <w:t>2024</w:t>
            </w:r>
          </w:p>
        </w:tc>
        <w:tc>
          <w:tcPr>
            <w:tcW w:w="1260" w:type="dxa"/>
            <w:tcBorders>
              <w:top w:val="nil"/>
              <w:left w:val="nil"/>
              <w:bottom w:val="single" w:sz="4" w:space="0" w:color="auto"/>
              <w:right w:val="single" w:sz="4" w:space="0" w:color="auto"/>
            </w:tcBorders>
            <w:shd w:val="clear" w:color="auto" w:fill="auto"/>
            <w:noWrap/>
            <w:vAlign w:val="bottom"/>
            <w:hideMark/>
          </w:tcPr>
          <w:p w14:paraId="5C346061" w14:textId="77777777" w:rsidR="000626CC" w:rsidRPr="00874A11" w:rsidRDefault="000626CC" w:rsidP="00154E06">
            <w:pPr>
              <w:keepNext/>
              <w:jc w:val="right"/>
              <w:rPr>
                <w:rFonts w:ascii="Calibri" w:hAnsi="Calibri" w:cs="Calibri"/>
                <w:color w:val="000000"/>
                <w:sz w:val="22"/>
                <w:szCs w:val="22"/>
              </w:rPr>
            </w:pPr>
            <w:r w:rsidRPr="00874A11">
              <w:rPr>
                <w:rFonts w:ascii="Calibri" w:hAnsi="Calibri" w:cs="Calibri"/>
                <w:color w:val="000000"/>
                <w:sz w:val="22"/>
                <w:szCs w:val="22"/>
              </w:rPr>
              <w:t>3.20</w:t>
            </w:r>
          </w:p>
        </w:tc>
      </w:tr>
      <w:tr w:rsidR="00F427AD" w:rsidRPr="00F427AD" w14:paraId="72AAAC92" w14:textId="77777777" w:rsidTr="00874A11">
        <w:trPr>
          <w:trHeight w:val="301"/>
        </w:trPr>
        <w:tc>
          <w:tcPr>
            <w:tcW w:w="4505" w:type="dxa"/>
            <w:tcBorders>
              <w:top w:val="nil"/>
              <w:left w:val="single" w:sz="4" w:space="0" w:color="auto"/>
              <w:bottom w:val="single" w:sz="4" w:space="0" w:color="auto"/>
              <w:right w:val="single" w:sz="4" w:space="0" w:color="auto"/>
            </w:tcBorders>
            <w:shd w:val="clear" w:color="000000" w:fill="C00000"/>
            <w:noWrap/>
            <w:vAlign w:val="bottom"/>
            <w:hideMark/>
          </w:tcPr>
          <w:p w14:paraId="371B4C43" w14:textId="77777777" w:rsidR="000626CC" w:rsidRPr="00874A11" w:rsidRDefault="000626CC" w:rsidP="00154E06">
            <w:pPr>
              <w:keepNext/>
              <w:rPr>
                <w:rFonts w:ascii="Calibri" w:hAnsi="Calibri" w:cs="Calibri"/>
                <w:color w:val="FFFFFF"/>
                <w:sz w:val="22"/>
                <w:szCs w:val="22"/>
              </w:rPr>
            </w:pPr>
            <w:r w:rsidRPr="00874A11">
              <w:rPr>
                <w:rFonts w:ascii="Calibri" w:hAnsi="Calibri" w:cs="Calibri"/>
                <w:color w:val="FFFFFF"/>
                <w:sz w:val="22"/>
                <w:szCs w:val="22"/>
              </w:rPr>
              <w:t>Nebo Natural Gas</w:t>
            </w:r>
          </w:p>
        </w:tc>
        <w:tc>
          <w:tcPr>
            <w:tcW w:w="1372" w:type="dxa"/>
            <w:tcBorders>
              <w:top w:val="nil"/>
              <w:left w:val="nil"/>
              <w:bottom w:val="single" w:sz="4" w:space="0" w:color="auto"/>
              <w:right w:val="single" w:sz="4" w:space="0" w:color="auto"/>
            </w:tcBorders>
            <w:shd w:val="clear" w:color="auto" w:fill="auto"/>
            <w:noWrap/>
            <w:vAlign w:val="bottom"/>
            <w:hideMark/>
          </w:tcPr>
          <w:p w14:paraId="2D49802E" w14:textId="77777777" w:rsidR="000626CC" w:rsidRPr="00874A11" w:rsidRDefault="000626CC" w:rsidP="00154E06">
            <w:pPr>
              <w:keepNext/>
              <w:jc w:val="right"/>
              <w:rPr>
                <w:rFonts w:ascii="Calibri" w:hAnsi="Calibri" w:cs="Calibri"/>
                <w:color w:val="000000"/>
                <w:sz w:val="22"/>
                <w:szCs w:val="22"/>
              </w:rPr>
            </w:pPr>
            <w:r w:rsidRPr="00874A11">
              <w:rPr>
                <w:rFonts w:ascii="Calibri" w:hAnsi="Calibri" w:cs="Calibri"/>
                <w:color w:val="000000"/>
                <w:sz w:val="22"/>
                <w:szCs w:val="22"/>
              </w:rPr>
              <w:t>2024</w:t>
            </w:r>
          </w:p>
        </w:tc>
        <w:tc>
          <w:tcPr>
            <w:tcW w:w="1228" w:type="dxa"/>
            <w:tcBorders>
              <w:top w:val="nil"/>
              <w:left w:val="nil"/>
              <w:bottom w:val="single" w:sz="4" w:space="0" w:color="auto"/>
              <w:right w:val="single" w:sz="4" w:space="0" w:color="auto"/>
            </w:tcBorders>
            <w:shd w:val="clear" w:color="auto" w:fill="auto"/>
            <w:noWrap/>
            <w:vAlign w:val="center"/>
            <w:hideMark/>
          </w:tcPr>
          <w:p w14:paraId="77C73661" w14:textId="77777777" w:rsidR="000626CC" w:rsidRPr="00874A11" w:rsidRDefault="000626CC" w:rsidP="00154E06">
            <w:pPr>
              <w:keepNext/>
              <w:jc w:val="center"/>
              <w:rPr>
                <w:rFonts w:ascii="Calibri" w:hAnsi="Calibri" w:cs="Calibri"/>
                <w:color w:val="000000"/>
                <w:sz w:val="22"/>
                <w:szCs w:val="22"/>
              </w:rPr>
            </w:pPr>
            <w:r w:rsidRPr="00874A11">
              <w:rPr>
                <w:rFonts w:ascii="Calibri" w:hAnsi="Calibri" w:cs="Calibri"/>
                <w:color w:val="000000"/>
                <w:sz w:val="22"/>
                <w:szCs w:val="22"/>
              </w:rPr>
              <w:t>N/A</w:t>
            </w:r>
          </w:p>
        </w:tc>
        <w:tc>
          <w:tcPr>
            <w:tcW w:w="1260" w:type="dxa"/>
            <w:tcBorders>
              <w:top w:val="nil"/>
              <w:left w:val="nil"/>
              <w:bottom w:val="single" w:sz="4" w:space="0" w:color="auto"/>
              <w:right w:val="single" w:sz="4" w:space="0" w:color="auto"/>
            </w:tcBorders>
            <w:shd w:val="clear" w:color="auto" w:fill="auto"/>
            <w:noWrap/>
            <w:vAlign w:val="bottom"/>
            <w:hideMark/>
          </w:tcPr>
          <w:p w14:paraId="307E26FE" w14:textId="77777777" w:rsidR="000626CC" w:rsidRPr="00874A11" w:rsidRDefault="000626CC" w:rsidP="00154E06">
            <w:pPr>
              <w:keepNext/>
              <w:jc w:val="right"/>
              <w:rPr>
                <w:rFonts w:ascii="Calibri" w:hAnsi="Calibri" w:cs="Calibri"/>
                <w:color w:val="000000"/>
                <w:sz w:val="22"/>
                <w:szCs w:val="22"/>
              </w:rPr>
            </w:pPr>
            <w:r w:rsidRPr="00874A11">
              <w:rPr>
                <w:rFonts w:ascii="Calibri" w:hAnsi="Calibri" w:cs="Calibri"/>
                <w:color w:val="000000"/>
                <w:sz w:val="22"/>
                <w:szCs w:val="22"/>
              </w:rPr>
              <w:t>5.14</w:t>
            </w:r>
          </w:p>
        </w:tc>
      </w:tr>
      <w:tr w:rsidR="00F427AD" w:rsidRPr="00F427AD" w14:paraId="57CF81EA" w14:textId="77777777" w:rsidTr="00874A11">
        <w:trPr>
          <w:trHeight w:val="301"/>
        </w:trPr>
        <w:tc>
          <w:tcPr>
            <w:tcW w:w="4505" w:type="dxa"/>
            <w:tcBorders>
              <w:top w:val="nil"/>
              <w:left w:val="single" w:sz="4" w:space="0" w:color="auto"/>
              <w:bottom w:val="single" w:sz="4" w:space="0" w:color="auto"/>
              <w:right w:val="single" w:sz="4" w:space="0" w:color="auto"/>
            </w:tcBorders>
            <w:shd w:val="clear" w:color="000000" w:fill="92D050"/>
            <w:noWrap/>
            <w:vAlign w:val="bottom"/>
            <w:hideMark/>
          </w:tcPr>
          <w:p w14:paraId="18AB5620" w14:textId="77777777" w:rsidR="000626CC" w:rsidRPr="00874A11" w:rsidRDefault="000626CC" w:rsidP="00154E06">
            <w:pPr>
              <w:keepNext/>
              <w:rPr>
                <w:rFonts w:ascii="Calibri" w:hAnsi="Calibri" w:cs="Calibri"/>
                <w:color w:val="000000"/>
                <w:sz w:val="22"/>
                <w:szCs w:val="22"/>
              </w:rPr>
            </w:pPr>
            <w:r w:rsidRPr="00874A11">
              <w:rPr>
                <w:rFonts w:ascii="Calibri" w:hAnsi="Calibri" w:cs="Calibri"/>
                <w:color w:val="000000"/>
                <w:sz w:val="22"/>
                <w:szCs w:val="22"/>
              </w:rPr>
              <w:t>Veyo Waste Heat Recovery</w:t>
            </w:r>
          </w:p>
        </w:tc>
        <w:tc>
          <w:tcPr>
            <w:tcW w:w="1372" w:type="dxa"/>
            <w:tcBorders>
              <w:top w:val="nil"/>
              <w:left w:val="nil"/>
              <w:bottom w:val="single" w:sz="4" w:space="0" w:color="auto"/>
              <w:right w:val="single" w:sz="4" w:space="0" w:color="auto"/>
            </w:tcBorders>
            <w:shd w:val="clear" w:color="auto" w:fill="auto"/>
            <w:noWrap/>
            <w:vAlign w:val="bottom"/>
            <w:hideMark/>
          </w:tcPr>
          <w:p w14:paraId="0013D17C" w14:textId="77777777" w:rsidR="000626CC" w:rsidRPr="00874A11" w:rsidRDefault="000626CC" w:rsidP="00154E06">
            <w:pPr>
              <w:keepNext/>
              <w:jc w:val="right"/>
              <w:rPr>
                <w:rFonts w:ascii="Calibri" w:hAnsi="Calibri" w:cs="Calibri"/>
                <w:color w:val="000000"/>
                <w:sz w:val="22"/>
                <w:szCs w:val="22"/>
              </w:rPr>
            </w:pPr>
            <w:r w:rsidRPr="00874A11">
              <w:rPr>
                <w:rFonts w:ascii="Calibri" w:hAnsi="Calibri" w:cs="Calibri"/>
                <w:color w:val="000000"/>
                <w:sz w:val="22"/>
                <w:szCs w:val="22"/>
              </w:rPr>
              <w:t>2024</w:t>
            </w:r>
          </w:p>
        </w:tc>
        <w:tc>
          <w:tcPr>
            <w:tcW w:w="1228" w:type="dxa"/>
            <w:tcBorders>
              <w:top w:val="nil"/>
              <w:left w:val="nil"/>
              <w:bottom w:val="single" w:sz="4" w:space="0" w:color="auto"/>
              <w:right w:val="single" w:sz="4" w:space="0" w:color="auto"/>
            </w:tcBorders>
            <w:shd w:val="clear" w:color="auto" w:fill="auto"/>
            <w:noWrap/>
            <w:vAlign w:val="center"/>
            <w:hideMark/>
          </w:tcPr>
          <w:p w14:paraId="13583CF2" w14:textId="77777777" w:rsidR="000626CC" w:rsidRPr="00874A11" w:rsidRDefault="000626CC" w:rsidP="00154E06">
            <w:pPr>
              <w:keepNext/>
              <w:jc w:val="center"/>
              <w:rPr>
                <w:rFonts w:ascii="Calibri" w:hAnsi="Calibri" w:cs="Calibri"/>
                <w:color w:val="000000"/>
                <w:sz w:val="22"/>
                <w:szCs w:val="22"/>
              </w:rPr>
            </w:pPr>
            <w:r w:rsidRPr="00874A11">
              <w:rPr>
                <w:rFonts w:ascii="Calibri" w:hAnsi="Calibri" w:cs="Calibri"/>
                <w:color w:val="000000"/>
                <w:sz w:val="22"/>
                <w:szCs w:val="22"/>
              </w:rPr>
              <w:t>N/A</w:t>
            </w:r>
          </w:p>
        </w:tc>
        <w:tc>
          <w:tcPr>
            <w:tcW w:w="1260" w:type="dxa"/>
            <w:tcBorders>
              <w:top w:val="nil"/>
              <w:left w:val="nil"/>
              <w:bottom w:val="single" w:sz="4" w:space="0" w:color="auto"/>
              <w:right w:val="single" w:sz="4" w:space="0" w:color="auto"/>
            </w:tcBorders>
            <w:shd w:val="clear" w:color="auto" w:fill="auto"/>
            <w:noWrap/>
            <w:vAlign w:val="bottom"/>
            <w:hideMark/>
          </w:tcPr>
          <w:p w14:paraId="3B26BA8D" w14:textId="77777777" w:rsidR="000626CC" w:rsidRPr="00874A11" w:rsidRDefault="000626CC" w:rsidP="00154E06">
            <w:pPr>
              <w:keepNext/>
              <w:jc w:val="right"/>
              <w:rPr>
                <w:rFonts w:ascii="Calibri" w:hAnsi="Calibri" w:cs="Calibri"/>
                <w:color w:val="000000"/>
                <w:sz w:val="22"/>
                <w:szCs w:val="22"/>
              </w:rPr>
            </w:pPr>
            <w:r w:rsidRPr="00874A11">
              <w:rPr>
                <w:rFonts w:ascii="Calibri" w:hAnsi="Calibri" w:cs="Calibri"/>
                <w:color w:val="000000"/>
                <w:sz w:val="22"/>
                <w:szCs w:val="22"/>
              </w:rPr>
              <w:t>1.70</w:t>
            </w:r>
          </w:p>
        </w:tc>
      </w:tr>
      <w:tr w:rsidR="00F427AD" w:rsidRPr="00F427AD" w14:paraId="71EB7661" w14:textId="77777777" w:rsidTr="00874A11">
        <w:trPr>
          <w:trHeight w:val="301"/>
        </w:trPr>
        <w:tc>
          <w:tcPr>
            <w:tcW w:w="4505" w:type="dxa"/>
            <w:tcBorders>
              <w:top w:val="nil"/>
              <w:left w:val="single" w:sz="4" w:space="0" w:color="auto"/>
              <w:bottom w:val="single" w:sz="4" w:space="0" w:color="auto"/>
              <w:right w:val="single" w:sz="4" w:space="0" w:color="auto"/>
            </w:tcBorders>
            <w:shd w:val="clear" w:color="000000" w:fill="92D050"/>
            <w:noWrap/>
            <w:vAlign w:val="bottom"/>
            <w:hideMark/>
          </w:tcPr>
          <w:p w14:paraId="4EB7DBB4" w14:textId="77777777" w:rsidR="000626CC" w:rsidRPr="00874A11" w:rsidRDefault="000626CC" w:rsidP="00154E06">
            <w:pPr>
              <w:keepNext/>
              <w:rPr>
                <w:rFonts w:ascii="Calibri" w:hAnsi="Calibri" w:cs="Calibri"/>
                <w:color w:val="000000"/>
                <w:sz w:val="22"/>
                <w:szCs w:val="22"/>
              </w:rPr>
            </w:pPr>
            <w:r w:rsidRPr="00874A11">
              <w:rPr>
                <w:rFonts w:ascii="Calibri" w:hAnsi="Calibri" w:cs="Calibri"/>
                <w:color w:val="000000"/>
                <w:sz w:val="22"/>
                <w:szCs w:val="22"/>
              </w:rPr>
              <w:t>Red Mesa Solar</w:t>
            </w:r>
          </w:p>
        </w:tc>
        <w:tc>
          <w:tcPr>
            <w:tcW w:w="1372" w:type="dxa"/>
            <w:tcBorders>
              <w:top w:val="nil"/>
              <w:left w:val="nil"/>
              <w:bottom w:val="single" w:sz="4" w:space="0" w:color="auto"/>
              <w:right w:val="single" w:sz="4" w:space="0" w:color="auto"/>
            </w:tcBorders>
            <w:shd w:val="clear" w:color="auto" w:fill="auto"/>
            <w:noWrap/>
            <w:vAlign w:val="bottom"/>
            <w:hideMark/>
          </w:tcPr>
          <w:p w14:paraId="7E745F3B" w14:textId="77777777" w:rsidR="000626CC" w:rsidRPr="00874A11" w:rsidRDefault="000626CC" w:rsidP="00154E06">
            <w:pPr>
              <w:keepNext/>
              <w:jc w:val="right"/>
              <w:rPr>
                <w:rFonts w:ascii="Calibri" w:hAnsi="Calibri" w:cs="Calibri"/>
                <w:color w:val="000000"/>
                <w:sz w:val="22"/>
                <w:szCs w:val="22"/>
              </w:rPr>
            </w:pPr>
            <w:r w:rsidRPr="00874A11">
              <w:rPr>
                <w:rFonts w:ascii="Calibri" w:hAnsi="Calibri" w:cs="Calibri"/>
                <w:color w:val="000000"/>
                <w:sz w:val="22"/>
                <w:szCs w:val="22"/>
              </w:rPr>
              <w:t>2024</w:t>
            </w:r>
          </w:p>
        </w:tc>
        <w:tc>
          <w:tcPr>
            <w:tcW w:w="1228" w:type="dxa"/>
            <w:tcBorders>
              <w:top w:val="nil"/>
              <w:left w:val="nil"/>
              <w:bottom w:val="single" w:sz="4" w:space="0" w:color="auto"/>
              <w:right w:val="single" w:sz="4" w:space="0" w:color="auto"/>
            </w:tcBorders>
            <w:shd w:val="clear" w:color="auto" w:fill="auto"/>
            <w:noWrap/>
            <w:vAlign w:val="center"/>
            <w:hideMark/>
          </w:tcPr>
          <w:p w14:paraId="51764847" w14:textId="77777777" w:rsidR="000626CC" w:rsidRPr="00874A11" w:rsidRDefault="000626CC" w:rsidP="00154E06">
            <w:pPr>
              <w:keepNext/>
              <w:jc w:val="center"/>
              <w:rPr>
                <w:rFonts w:ascii="Calibri" w:hAnsi="Calibri" w:cs="Calibri"/>
                <w:color w:val="000000"/>
                <w:sz w:val="22"/>
                <w:szCs w:val="22"/>
              </w:rPr>
            </w:pPr>
            <w:r w:rsidRPr="00874A11">
              <w:rPr>
                <w:rFonts w:ascii="Calibri" w:hAnsi="Calibri" w:cs="Calibri"/>
                <w:color w:val="000000"/>
                <w:sz w:val="22"/>
                <w:szCs w:val="22"/>
              </w:rPr>
              <w:t>N/A</w:t>
            </w:r>
          </w:p>
        </w:tc>
        <w:tc>
          <w:tcPr>
            <w:tcW w:w="1260" w:type="dxa"/>
            <w:tcBorders>
              <w:top w:val="nil"/>
              <w:left w:val="nil"/>
              <w:bottom w:val="single" w:sz="4" w:space="0" w:color="auto"/>
              <w:right w:val="single" w:sz="4" w:space="0" w:color="auto"/>
            </w:tcBorders>
            <w:shd w:val="clear" w:color="auto" w:fill="auto"/>
            <w:noWrap/>
            <w:vAlign w:val="bottom"/>
            <w:hideMark/>
          </w:tcPr>
          <w:p w14:paraId="41BFB0B9" w14:textId="77777777" w:rsidR="000626CC" w:rsidRPr="00874A11" w:rsidRDefault="000626CC" w:rsidP="00154E06">
            <w:pPr>
              <w:keepNext/>
              <w:jc w:val="right"/>
              <w:rPr>
                <w:rFonts w:ascii="Calibri" w:hAnsi="Calibri" w:cs="Calibri"/>
                <w:color w:val="000000"/>
                <w:sz w:val="22"/>
                <w:szCs w:val="22"/>
              </w:rPr>
            </w:pPr>
            <w:r w:rsidRPr="00874A11">
              <w:rPr>
                <w:rFonts w:ascii="Calibri" w:hAnsi="Calibri" w:cs="Calibri"/>
                <w:color w:val="000000"/>
                <w:sz w:val="22"/>
                <w:szCs w:val="22"/>
              </w:rPr>
              <w:t>6.00</w:t>
            </w:r>
          </w:p>
        </w:tc>
      </w:tr>
      <w:tr w:rsidR="00F427AD" w:rsidRPr="00F427AD" w14:paraId="0CD9A606" w14:textId="77777777" w:rsidTr="00874A11">
        <w:trPr>
          <w:trHeight w:val="301"/>
        </w:trPr>
        <w:tc>
          <w:tcPr>
            <w:tcW w:w="4505" w:type="dxa"/>
            <w:tcBorders>
              <w:top w:val="nil"/>
              <w:left w:val="single" w:sz="4" w:space="0" w:color="auto"/>
              <w:bottom w:val="single" w:sz="4" w:space="0" w:color="auto"/>
              <w:right w:val="single" w:sz="4" w:space="0" w:color="auto"/>
            </w:tcBorders>
            <w:shd w:val="clear" w:color="000000" w:fill="92D050"/>
            <w:noWrap/>
            <w:vAlign w:val="bottom"/>
            <w:hideMark/>
          </w:tcPr>
          <w:p w14:paraId="71296AE2" w14:textId="77777777" w:rsidR="000626CC" w:rsidRPr="00874A11" w:rsidRDefault="000626CC" w:rsidP="00154E06">
            <w:pPr>
              <w:keepNext/>
              <w:rPr>
                <w:rFonts w:ascii="Calibri" w:hAnsi="Calibri" w:cs="Calibri"/>
                <w:color w:val="000000"/>
                <w:sz w:val="22"/>
                <w:szCs w:val="22"/>
              </w:rPr>
            </w:pPr>
            <w:r w:rsidRPr="00874A11">
              <w:rPr>
                <w:rFonts w:ascii="Calibri" w:hAnsi="Calibri" w:cs="Calibri"/>
                <w:color w:val="000000"/>
                <w:sz w:val="22"/>
                <w:szCs w:val="22"/>
              </w:rPr>
              <w:t>Stampede Powerplant WAPA 4.0</w:t>
            </w:r>
          </w:p>
        </w:tc>
        <w:tc>
          <w:tcPr>
            <w:tcW w:w="1372" w:type="dxa"/>
            <w:tcBorders>
              <w:top w:val="nil"/>
              <w:left w:val="nil"/>
              <w:bottom w:val="single" w:sz="4" w:space="0" w:color="auto"/>
              <w:right w:val="single" w:sz="4" w:space="0" w:color="auto"/>
            </w:tcBorders>
            <w:shd w:val="clear" w:color="auto" w:fill="auto"/>
            <w:noWrap/>
            <w:vAlign w:val="bottom"/>
            <w:hideMark/>
          </w:tcPr>
          <w:p w14:paraId="5CF665D9" w14:textId="77777777" w:rsidR="000626CC" w:rsidRPr="00874A11" w:rsidRDefault="000626CC" w:rsidP="00154E06">
            <w:pPr>
              <w:keepNext/>
              <w:jc w:val="right"/>
              <w:rPr>
                <w:rFonts w:ascii="Calibri" w:hAnsi="Calibri" w:cs="Calibri"/>
                <w:color w:val="000000"/>
                <w:sz w:val="22"/>
                <w:szCs w:val="22"/>
              </w:rPr>
            </w:pPr>
            <w:r w:rsidRPr="00874A11">
              <w:rPr>
                <w:rFonts w:ascii="Calibri" w:hAnsi="Calibri" w:cs="Calibri"/>
                <w:color w:val="000000"/>
                <w:sz w:val="22"/>
                <w:szCs w:val="22"/>
              </w:rPr>
              <w:t>2024</w:t>
            </w:r>
          </w:p>
        </w:tc>
        <w:tc>
          <w:tcPr>
            <w:tcW w:w="1228" w:type="dxa"/>
            <w:tcBorders>
              <w:top w:val="nil"/>
              <w:left w:val="nil"/>
              <w:bottom w:val="single" w:sz="4" w:space="0" w:color="auto"/>
              <w:right w:val="single" w:sz="4" w:space="0" w:color="auto"/>
            </w:tcBorders>
            <w:shd w:val="clear" w:color="auto" w:fill="auto"/>
            <w:noWrap/>
            <w:vAlign w:val="center"/>
            <w:hideMark/>
          </w:tcPr>
          <w:p w14:paraId="73AE1882" w14:textId="77777777" w:rsidR="000626CC" w:rsidRPr="00874A11" w:rsidRDefault="000626CC" w:rsidP="00154E06">
            <w:pPr>
              <w:keepNext/>
              <w:jc w:val="center"/>
              <w:rPr>
                <w:rFonts w:ascii="Calibri" w:hAnsi="Calibri" w:cs="Calibri"/>
                <w:color w:val="000000"/>
                <w:sz w:val="22"/>
                <w:szCs w:val="22"/>
              </w:rPr>
            </w:pPr>
            <w:r w:rsidRPr="00874A11">
              <w:rPr>
                <w:rFonts w:ascii="Calibri" w:hAnsi="Calibri" w:cs="Calibri"/>
                <w:color w:val="000000"/>
                <w:sz w:val="22"/>
                <w:szCs w:val="22"/>
              </w:rPr>
              <w:t>N/A</w:t>
            </w:r>
          </w:p>
        </w:tc>
        <w:tc>
          <w:tcPr>
            <w:tcW w:w="1260" w:type="dxa"/>
            <w:tcBorders>
              <w:top w:val="nil"/>
              <w:left w:val="nil"/>
              <w:bottom w:val="single" w:sz="4" w:space="0" w:color="auto"/>
              <w:right w:val="single" w:sz="4" w:space="0" w:color="auto"/>
            </w:tcBorders>
            <w:shd w:val="clear" w:color="auto" w:fill="auto"/>
            <w:noWrap/>
            <w:vAlign w:val="bottom"/>
            <w:hideMark/>
          </w:tcPr>
          <w:p w14:paraId="78EF3BE5" w14:textId="77777777" w:rsidR="000626CC" w:rsidRPr="00874A11" w:rsidRDefault="000626CC" w:rsidP="00154E06">
            <w:pPr>
              <w:keepNext/>
              <w:jc w:val="right"/>
              <w:rPr>
                <w:rFonts w:ascii="Calibri" w:hAnsi="Calibri" w:cs="Calibri"/>
                <w:color w:val="000000"/>
                <w:sz w:val="22"/>
                <w:szCs w:val="22"/>
              </w:rPr>
            </w:pPr>
            <w:r w:rsidRPr="00874A11">
              <w:rPr>
                <w:rFonts w:ascii="Calibri" w:hAnsi="Calibri" w:cs="Calibri"/>
                <w:color w:val="000000"/>
                <w:sz w:val="22"/>
                <w:szCs w:val="22"/>
              </w:rPr>
              <w:t>4.00</w:t>
            </w:r>
          </w:p>
        </w:tc>
      </w:tr>
      <w:tr w:rsidR="00F427AD" w:rsidRPr="00F427AD" w14:paraId="0FE816D0" w14:textId="77777777" w:rsidTr="00874A11">
        <w:trPr>
          <w:trHeight w:val="301"/>
        </w:trPr>
        <w:tc>
          <w:tcPr>
            <w:tcW w:w="4505" w:type="dxa"/>
            <w:tcBorders>
              <w:top w:val="nil"/>
              <w:left w:val="single" w:sz="4" w:space="0" w:color="auto"/>
              <w:bottom w:val="single" w:sz="4" w:space="0" w:color="auto"/>
              <w:right w:val="single" w:sz="4" w:space="0" w:color="auto"/>
            </w:tcBorders>
            <w:shd w:val="clear" w:color="000000" w:fill="92D050"/>
            <w:noWrap/>
            <w:vAlign w:val="bottom"/>
            <w:hideMark/>
          </w:tcPr>
          <w:p w14:paraId="14C2E1F7" w14:textId="77777777" w:rsidR="000626CC" w:rsidRPr="00874A11" w:rsidRDefault="000626CC" w:rsidP="00154E06">
            <w:pPr>
              <w:keepNext/>
              <w:rPr>
                <w:rFonts w:ascii="Calibri" w:hAnsi="Calibri" w:cs="Calibri"/>
                <w:color w:val="000000"/>
                <w:sz w:val="22"/>
                <w:szCs w:val="22"/>
              </w:rPr>
            </w:pPr>
            <w:r w:rsidRPr="00874A11">
              <w:rPr>
                <w:rFonts w:ascii="Calibri" w:hAnsi="Calibri" w:cs="Calibri"/>
                <w:color w:val="000000"/>
                <w:sz w:val="22"/>
                <w:szCs w:val="22"/>
              </w:rPr>
              <w:t>26 Foot Drop Hydro</w:t>
            </w:r>
          </w:p>
        </w:tc>
        <w:tc>
          <w:tcPr>
            <w:tcW w:w="1372" w:type="dxa"/>
            <w:tcBorders>
              <w:top w:val="nil"/>
              <w:left w:val="nil"/>
              <w:bottom w:val="single" w:sz="4" w:space="0" w:color="auto"/>
              <w:right w:val="single" w:sz="4" w:space="0" w:color="auto"/>
            </w:tcBorders>
            <w:shd w:val="clear" w:color="auto" w:fill="auto"/>
            <w:noWrap/>
            <w:vAlign w:val="bottom"/>
            <w:hideMark/>
          </w:tcPr>
          <w:p w14:paraId="13637389" w14:textId="77777777" w:rsidR="000626CC" w:rsidRPr="00874A11" w:rsidRDefault="000626CC" w:rsidP="00154E06">
            <w:pPr>
              <w:keepNext/>
              <w:jc w:val="right"/>
              <w:rPr>
                <w:rFonts w:ascii="Calibri" w:hAnsi="Calibri" w:cs="Calibri"/>
                <w:color w:val="000000"/>
                <w:sz w:val="22"/>
                <w:szCs w:val="22"/>
              </w:rPr>
            </w:pPr>
            <w:r w:rsidRPr="00874A11">
              <w:rPr>
                <w:rFonts w:ascii="Calibri" w:hAnsi="Calibri" w:cs="Calibri"/>
                <w:color w:val="000000"/>
                <w:sz w:val="22"/>
                <w:szCs w:val="22"/>
              </w:rPr>
              <w:t>2024</w:t>
            </w:r>
          </w:p>
        </w:tc>
        <w:tc>
          <w:tcPr>
            <w:tcW w:w="1228" w:type="dxa"/>
            <w:tcBorders>
              <w:top w:val="nil"/>
              <w:left w:val="nil"/>
              <w:bottom w:val="single" w:sz="4" w:space="0" w:color="auto"/>
              <w:right w:val="single" w:sz="4" w:space="0" w:color="auto"/>
            </w:tcBorders>
            <w:shd w:val="clear" w:color="auto" w:fill="auto"/>
            <w:noWrap/>
            <w:vAlign w:val="center"/>
            <w:hideMark/>
          </w:tcPr>
          <w:p w14:paraId="69540816" w14:textId="77777777" w:rsidR="000626CC" w:rsidRPr="00874A11" w:rsidRDefault="000626CC" w:rsidP="00154E06">
            <w:pPr>
              <w:keepNext/>
              <w:jc w:val="center"/>
              <w:rPr>
                <w:rFonts w:ascii="Calibri" w:hAnsi="Calibri" w:cs="Calibri"/>
                <w:color w:val="000000"/>
                <w:sz w:val="22"/>
                <w:szCs w:val="22"/>
              </w:rPr>
            </w:pPr>
            <w:r w:rsidRPr="00874A11">
              <w:rPr>
                <w:rFonts w:ascii="Calibri" w:hAnsi="Calibri" w:cs="Calibri"/>
                <w:color w:val="000000"/>
                <w:sz w:val="22"/>
                <w:szCs w:val="22"/>
              </w:rPr>
              <w:t>N/A</w:t>
            </w:r>
          </w:p>
        </w:tc>
        <w:tc>
          <w:tcPr>
            <w:tcW w:w="1260" w:type="dxa"/>
            <w:tcBorders>
              <w:top w:val="nil"/>
              <w:left w:val="nil"/>
              <w:bottom w:val="single" w:sz="4" w:space="0" w:color="auto"/>
              <w:right w:val="single" w:sz="4" w:space="0" w:color="auto"/>
            </w:tcBorders>
            <w:shd w:val="clear" w:color="auto" w:fill="auto"/>
            <w:noWrap/>
            <w:vAlign w:val="bottom"/>
            <w:hideMark/>
          </w:tcPr>
          <w:p w14:paraId="57C73278" w14:textId="77777777" w:rsidR="000626CC" w:rsidRPr="00874A11" w:rsidRDefault="000626CC" w:rsidP="00154E06">
            <w:pPr>
              <w:keepNext/>
              <w:jc w:val="right"/>
              <w:rPr>
                <w:rFonts w:ascii="Calibri" w:hAnsi="Calibri" w:cs="Calibri"/>
                <w:color w:val="000000"/>
                <w:sz w:val="22"/>
                <w:szCs w:val="22"/>
              </w:rPr>
            </w:pPr>
            <w:r w:rsidRPr="00874A11">
              <w:rPr>
                <w:rFonts w:ascii="Calibri" w:hAnsi="Calibri" w:cs="Calibri"/>
                <w:color w:val="000000"/>
                <w:sz w:val="22"/>
                <w:szCs w:val="22"/>
              </w:rPr>
              <w:t>1.00</w:t>
            </w:r>
          </w:p>
        </w:tc>
      </w:tr>
      <w:tr w:rsidR="00F427AD" w:rsidRPr="00F427AD" w14:paraId="7FCC7D93" w14:textId="77777777" w:rsidTr="00874A11">
        <w:trPr>
          <w:trHeight w:val="301"/>
        </w:trPr>
        <w:tc>
          <w:tcPr>
            <w:tcW w:w="4505" w:type="dxa"/>
            <w:tcBorders>
              <w:top w:val="nil"/>
              <w:left w:val="single" w:sz="4" w:space="0" w:color="auto"/>
              <w:bottom w:val="single" w:sz="4" w:space="0" w:color="auto"/>
              <w:right w:val="single" w:sz="4" w:space="0" w:color="auto"/>
            </w:tcBorders>
            <w:shd w:val="clear" w:color="000000" w:fill="00B0F0"/>
            <w:noWrap/>
            <w:vAlign w:val="bottom"/>
            <w:hideMark/>
          </w:tcPr>
          <w:p w14:paraId="55BFEEA5" w14:textId="77777777" w:rsidR="000626CC" w:rsidRPr="00874A11" w:rsidRDefault="000626CC" w:rsidP="00154E06">
            <w:pPr>
              <w:keepNext/>
              <w:rPr>
                <w:rFonts w:ascii="Calibri" w:hAnsi="Calibri" w:cs="Calibri"/>
                <w:color w:val="000000"/>
                <w:sz w:val="22"/>
                <w:szCs w:val="22"/>
              </w:rPr>
            </w:pPr>
            <w:r w:rsidRPr="00874A11">
              <w:rPr>
                <w:rFonts w:ascii="Calibri" w:hAnsi="Calibri" w:cs="Calibri"/>
                <w:color w:val="000000"/>
                <w:sz w:val="22"/>
                <w:szCs w:val="22"/>
              </w:rPr>
              <w:t xml:space="preserve">Central Valley Project WAPA 2.0 2025 </w:t>
            </w:r>
          </w:p>
        </w:tc>
        <w:tc>
          <w:tcPr>
            <w:tcW w:w="1372" w:type="dxa"/>
            <w:tcBorders>
              <w:top w:val="nil"/>
              <w:left w:val="nil"/>
              <w:bottom w:val="single" w:sz="4" w:space="0" w:color="auto"/>
              <w:right w:val="single" w:sz="4" w:space="0" w:color="auto"/>
            </w:tcBorders>
            <w:shd w:val="clear" w:color="auto" w:fill="auto"/>
            <w:noWrap/>
            <w:vAlign w:val="bottom"/>
            <w:hideMark/>
          </w:tcPr>
          <w:p w14:paraId="3F331BEA" w14:textId="77777777" w:rsidR="000626CC" w:rsidRPr="00874A11" w:rsidRDefault="000626CC" w:rsidP="00154E06">
            <w:pPr>
              <w:keepNext/>
              <w:jc w:val="right"/>
              <w:rPr>
                <w:rFonts w:ascii="Calibri" w:hAnsi="Calibri" w:cs="Calibri"/>
                <w:color w:val="000000"/>
                <w:sz w:val="22"/>
                <w:szCs w:val="22"/>
              </w:rPr>
            </w:pPr>
            <w:r w:rsidRPr="00874A11">
              <w:rPr>
                <w:rFonts w:ascii="Calibri" w:hAnsi="Calibri" w:cs="Calibri"/>
                <w:color w:val="000000"/>
                <w:sz w:val="22"/>
                <w:szCs w:val="22"/>
              </w:rPr>
              <w:t>2024</w:t>
            </w:r>
          </w:p>
        </w:tc>
        <w:tc>
          <w:tcPr>
            <w:tcW w:w="1228" w:type="dxa"/>
            <w:tcBorders>
              <w:top w:val="nil"/>
              <w:left w:val="nil"/>
              <w:bottom w:val="single" w:sz="4" w:space="0" w:color="auto"/>
              <w:right w:val="single" w:sz="4" w:space="0" w:color="auto"/>
            </w:tcBorders>
            <w:shd w:val="clear" w:color="auto" w:fill="auto"/>
            <w:noWrap/>
            <w:vAlign w:val="center"/>
            <w:hideMark/>
          </w:tcPr>
          <w:p w14:paraId="26C2B008" w14:textId="77777777" w:rsidR="000626CC" w:rsidRPr="00874A11" w:rsidRDefault="000626CC" w:rsidP="00154E06">
            <w:pPr>
              <w:keepNext/>
              <w:jc w:val="center"/>
              <w:rPr>
                <w:rFonts w:ascii="Calibri" w:hAnsi="Calibri" w:cs="Calibri"/>
                <w:color w:val="000000"/>
                <w:sz w:val="22"/>
                <w:szCs w:val="22"/>
              </w:rPr>
            </w:pPr>
            <w:r w:rsidRPr="00874A11">
              <w:rPr>
                <w:rFonts w:ascii="Calibri" w:hAnsi="Calibri" w:cs="Calibri"/>
                <w:color w:val="000000"/>
                <w:sz w:val="22"/>
                <w:szCs w:val="22"/>
              </w:rPr>
              <w:t>N/A</w:t>
            </w:r>
          </w:p>
        </w:tc>
        <w:tc>
          <w:tcPr>
            <w:tcW w:w="1260" w:type="dxa"/>
            <w:tcBorders>
              <w:top w:val="nil"/>
              <w:left w:val="nil"/>
              <w:bottom w:val="single" w:sz="4" w:space="0" w:color="auto"/>
              <w:right w:val="single" w:sz="4" w:space="0" w:color="auto"/>
            </w:tcBorders>
            <w:shd w:val="clear" w:color="auto" w:fill="auto"/>
            <w:noWrap/>
            <w:vAlign w:val="bottom"/>
            <w:hideMark/>
          </w:tcPr>
          <w:p w14:paraId="15E7FC73" w14:textId="77777777" w:rsidR="000626CC" w:rsidRPr="00874A11" w:rsidRDefault="000626CC" w:rsidP="00154E06">
            <w:pPr>
              <w:keepNext/>
              <w:jc w:val="right"/>
              <w:rPr>
                <w:rFonts w:ascii="Calibri" w:hAnsi="Calibri" w:cs="Calibri"/>
                <w:color w:val="000000"/>
                <w:sz w:val="22"/>
                <w:szCs w:val="22"/>
              </w:rPr>
            </w:pPr>
            <w:r w:rsidRPr="00874A11">
              <w:rPr>
                <w:rFonts w:ascii="Calibri" w:hAnsi="Calibri" w:cs="Calibri"/>
                <w:color w:val="000000"/>
                <w:sz w:val="22"/>
                <w:szCs w:val="22"/>
              </w:rPr>
              <w:t>2.00</w:t>
            </w:r>
          </w:p>
        </w:tc>
      </w:tr>
      <w:tr w:rsidR="00F427AD" w:rsidRPr="00F427AD" w14:paraId="670A367B" w14:textId="77777777" w:rsidTr="00874A11">
        <w:trPr>
          <w:trHeight w:val="301"/>
        </w:trPr>
        <w:tc>
          <w:tcPr>
            <w:tcW w:w="4505" w:type="dxa"/>
            <w:tcBorders>
              <w:top w:val="nil"/>
              <w:left w:val="single" w:sz="4" w:space="0" w:color="auto"/>
              <w:bottom w:val="single" w:sz="4" w:space="0" w:color="auto"/>
              <w:right w:val="single" w:sz="4" w:space="0" w:color="auto"/>
            </w:tcBorders>
            <w:shd w:val="clear" w:color="000000" w:fill="92D050"/>
            <w:noWrap/>
            <w:vAlign w:val="bottom"/>
            <w:hideMark/>
          </w:tcPr>
          <w:p w14:paraId="62FA5A46" w14:textId="77777777" w:rsidR="000626CC" w:rsidRPr="00874A11" w:rsidRDefault="000626CC" w:rsidP="00154E06">
            <w:pPr>
              <w:keepNext/>
              <w:rPr>
                <w:rFonts w:ascii="Calibri" w:hAnsi="Calibri" w:cs="Calibri"/>
                <w:color w:val="000000"/>
                <w:sz w:val="22"/>
                <w:szCs w:val="22"/>
              </w:rPr>
            </w:pPr>
            <w:r w:rsidRPr="00874A11">
              <w:rPr>
                <w:rFonts w:ascii="Calibri" w:hAnsi="Calibri" w:cs="Calibri"/>
                <w:color w:val="000000"/>
                <w:sz w:val="22"/>
                <w:szCs w:val="22"/>
              </w:rPr>
              <w:t>Old Lahontan Hydroelectric</w:t>
            </w:r>
          </w:p>
        </w:tc>
        <w:tc>
          <w:tcPr>
            <w:tcW w:w="1372" w:type="dxa"/>
            <w:tcBorders>
              <w:top w:val="nil"/>
              <w:left w:val="nil"/>
              <w:bottom w:val="single" w:sz="4" w:space="0" w:color="auto"/>
              <w:right w:val="single" w:sz="4" w:space="0" w:color="auto"/>
            </w:tcBorders>
            <w:shd w:val="clear" w:color="auto" w:fill="auto"/>
            <w:noWrap/>
            <w:vAlign w:val="bottom"/>
            <w:hideMark/>
          </w:tcPr>
          <w:p w14:paraId="39662298" w14:textId="77777777" w:rsidR="000626CC" w:rsidRPr="00874A11" w:rsidRDefault="000626CC" w:rsidP="00154E06">
            <w:pPr>
              <w:keepNext/>
              <w:jc w:val="right"/>
              <w:rPr>
                <w:rFonts w:ascii="Calibri" w:hAnsi="Calibri" w:cs="Calibri"/>
                <w:color w:val="000000"/>
                <w:sz w:val="22"/>
                <w:szCs w:val="22"/>
              </w:rPr>
            </w:pPr>
            <w:r w:rsidRPr="00874A11">
              <w:rPr>
                <w:rFonts w:ascii="Calibri" w:hAnsi="Calibri" w:cs="Calibri"/>
                <w:color w:val="000000"/>
                <w:sz w:val="22"/>
                <w:szCs w:val="22"/>
              </w:rPr>
              <w:t>2024</w:t>
            </w:r>
          </w:p>
        </w:tc>
        <w:tc>
          <w:tcPr>
            <w:tcW w:w="1228" w:type="dxa"/>
            <w:tcBorders>
              <w:top w:val="nil"/>
              <w:left w:val="nil"/>
              <w:bottom w:val="single" w:sz="4" w:space="0" w:color="auto"/>
              <w:right w:val="single" w:sz="4" w:space="0" w:color="auto"/>
            </w:tcBorders>
            <w:shd w:val="clear" w:color="auto" w:fill="auto"/>
            <w:noWrap/>
            <w:vAlign w:val="center"/>
            <w:hideMark/>
          </w:tcPr>
          <w:p w14:paraId="1E4A0207" w14:textId="77777777" w:rsidR="000626CC" w:rsidRPr="00874A11" w:rsidRDefault="000626CC" w:rsidP="00154E06">
            <w:pPr>
              <w:keepNext/>
              <w:jc w:val="center"/>
              <w:rPr>
                <w:rFonts w:ascii="Calibri" w:hAnsi="Calibri" w:cs="Calibri"/>
                <w:color w:val="000000"/>
                <w:sz w:val="22"/>
                <w:szCs w:val="22"/>
              </w:rPr>
            </w:pPr>
            <w:r w:rsidRPr="00874A11">
              <w:rPr>
                <w:rFonts w:ascii="Calibri" w:hAnsi="Calibri" w:cs="Calibri"/>
                <w:color w:val="000000"/>
                <w:sz w:val="22"/>
                <w:szCs w:val="22"/>
              </w:rPr>
              <w:t>N/A</w:t>
            </w:r>
          </w:p>
        </w:tc>
        <w:tc>
          <w:tcPr>
            <w:tcW w:w="1260" w:type="dxa"/>
            <w:tcBorders>
              <w:top w:val="nil"/>
              <w:left w:val="nil"/>
              <w:bottom w:val="single" w:sz="4" w:space="0" w:color="auto"/>
              <w:right w:val="single" w:sz="4" w:space="0" w:color="auto"/>
            </w:tcBorders>
            <w:shd w:val="clear" w:color="auto" w:fill="auto"/>
            <w:noWrap/>
            <w:vAlign w:val="bottom"/>
            <w:hideMark/>
          </w:tcPr>
          <w:p w14:paraId="183C9419" w14:textId="77777777" w:rsidR="000626CC" w:rsidRPr="00874A11" w:rsidRDefault="000626CC" w:rsidP="00154E06">
            <w:pPr>
              <w:keepNext/>
              <w:jc w:val="right"/>
              <w:rPr>
                <w:rFonts w:ascii="Calibri" w:hAnsi="Calibri" w:cs="Calibri"/>
                <w:color w:val="000000"/>
                <w:sz w:val="22"/>
                <w:szCs w:val="22"/>
              </w:rPr>
            </w:pPr>
            <w:r w:rsidRPr="00874A11">
              <w:rPr>
                <w:rFonts w:ascii="Calibri" w:hAnsi="Calibri" w:cs="Calibri"/>
                <w:color w:val="000000"/>
                <w:sz w:val="22"/>
                <w:szCs w:val="22"/>
              </w:rPr>
              <w:t>2.70</w:t>
            </w:r>
          </w:p>
        </w:tc>
      </w:tr>
      <w:tr w:rsidR="00F427AD" w:rsidRPr="00F427AD" w14:paraId="5DAD38A2" w14:textId="77777777" w:rsidTr="00874A11">
        <w:trPr>
          <w:trHeight w:val="301"/>
        </w:trPr>
        <w:tc>
          <w:tcPr>
            <w:tcW w:w="4505" w:type="dxa"/>
            <w:tcBorders>
              <w:top w:val="nil"/>
              <w:left w:val="single" w:sz="4" w:space="0" w:color="auto"/>
              <w:bottom w:val="single" w:sz="4" w:space="0" w:color="auto"/>
              <w:right w:val="single" w:sz="4" w:space="0" w:color="auto"/>
            </w:tcBorders>
            <w:shd w:val="clear" w:color="000000" w:fill="C00000"/>
            <w:noWrap/>
            <w:vAlign w:val="bottom"/>
            <w:hideMark/>
          </w:tcPr>
          <w:p w14:paraId="0DD8FDC1" w14:textId="77777777" w:rsidR="000626CC" w:rsidRPr="00874A11" w:rsidRDefault="000626CC" w:rsidP="00154E06">
            <w:pPr>
              <w:keepNext/>
              <w:rPr>
                <w:rFonts w:ascii="Calibri" w:hAnsi="Calibri" w:cs="Calibri"/>
                <w:color w:val="FFFFFF"/>
                <w:sz w:val="22"/>
                <w:szCs w:val="22"/>
              </w:rPr>
            </w:pPr>
            <w:r w:rsidRPr="00874A11">
              <w:rPr>
                <w:rFonts w:ascii="Calibri" w:hAnsi="Calibri" w:cs="Calibri"/>
                <w:color w:val="FFFFFF"/>
                <w:sz w:val="22"/>
                <w:szCs w:val="22"/>
              </w:rPr>
              <w:t>5-Year Market Purchase</w:t>
            </w:r>
          </w:p>
        </w:tc>
        <w:tc>
          <w:tcPr>
            <w:tcW w:w="1372" w:type="dxa"/>
            <w:tcBorders>
              <w:top w:val="nil"/>
              <w:left w:val="nil"/>
              <w:bottom w:val="single" w:sz="4" w:space="0" w:color="auto"/>
              <w:right w:val="single" w:sz="4" w:space="0" w:color="auto"/>
            </w:tcBorders>
            <w:shd w:val="clear" w:color="auto" w:fill="auto"/>
            <w:noWrap/>
            <w:vAlign w:val="bottom"/>
            <w:hideMark/>
          </w:tcPr>
          <w:p w14:paraId="588B8C42" w14:textId="77777777" w:rsidR="000626CC" w:rsidRPr="00874A11" w:rsidRDefault="000626CC" w:rsidP="00154E06">
            <w:pPr>
              <w:keepNext/>
              <w:jc w:val="right"/>
              <w:rPr>
                <w:rFonts w:ascii="Calibri" w:hAnsi="Calibri" w:cs="Calibri"/>
                <w:color w:val="000000"/>
                <w:sz w:val="22"/>
                <w:szCs w:val="22"/>
              </w:rPr>
            </w:pPr>
            <w:r w:rsidRPr="00874A11">
              <w:rPr>
                <w:rFonts w:ascii="Calibri" w:hAnsi="Calibri" w:cs="Calibri"/>
                <w:color w:val="000000"/>
                <w:sz w:val="22"/>
                <w:szCs w:val="22"/>
              </w:rPr>
              <w:t>2024</w:t>
            </w:r>
          </w:p>
        </w:tc>
        <w:tc>
          <w:tcPr>
            <w:tcW w:w="1228" w:type="dxa"/>
            <w:tcBorders>
              <w:top w:val="nil"/>
              <w:left w:val="nil"/>
              <w:bottom w:val="single" w:sz="4" w:space="0" w:color="auto"/>
              <w:right w:val="single" w:sz="4" w:space="0" w:color="auto"/>
            </w:tcBorders>
            <w:shd w:val="clear" w:color="auto" w:fill="auto"/>
            <w:noWrap/>
            <w:vAlign w:val="center"/>
            <w:hideMark/>
          </w:tcPr>
          <w:p w14:paraId="7C90B430" w14:textId="77777777" w:rsidR="000626CC" w:rsidRPr="00874A11" w:rsidRDefault="000626CC" w:rsidP="00154E06">
            <w:pPr>
              <w:keepNext/>
              <w:jc w:val="center"/>
              <w:rPr>
                <w:rFonts w:ascii="Calibri" w:hAnsi="Calibri" w:cs="Calibri"/>
                <w:color w:val="000000"/>
                <w:sz w:val="22"/>
                <w:szCs w:val="22"/>
              </w:rPr>
            </w:pPr>
            <w:r w:rsidRPr="00874A11">
              <w:rPr>
                <w:rFonts w:ascii="Calibri" w:hAnsi="Calibri" w:cs="Calibri"/>
                <w:color w:val="000000"/>
                <w:sz w:val="22"/>
                <w:szCs w:val="22"/>
              </w:rPr>
              <w:t>2027</w:t>
            </w:r>
          </w:p>
        </w:tc>
        <w:tc>
          <w:tcPr>
            <w:tcW w:w="1260" w:type="dxa"/>
            <w:tcBorders>
              <w:top w:val="nil"/>
              <w:left w:val="nil"/>
              <w:bottom w:val="single" w:sz="4" w:space="0" w:color="auto"/>
              <w:right w:val="single" w:sz="4" w:space="0" w:color="auto"/>
            </w:tcBorders>
            <w:shd w:val="clear" w:color="auto" w:fill="auto"/>
            <w:noWrap/>
            <w:vAlign w:val="bottom"/>
            <w:hideMark/>
          </w:tcPr>
          <w:p w14:paraId="565D8B13" w14:textId="77777777" w:rsidR="000626CC" w:rsidRPr="00874A11" w:rsidRDefault="000626CC" w:rsidP="00154E06">
            <w:pPr>
              <w:keepNext/>
              <w:jc w:val="right"/>
              <w:rPr>
                <w:rFonts w:ascii="Calibri" w:hAnsi="Calibri" w:cs="Calibri"/>
                <w:color w:val="000000"/>
                <w:sz w:val="22"/>
                <w:szCs w:val="22"/>
              </w:rPr>
            </w:pPr>
            <w:r w:rsidRPr="00874A11">
              <w:rPr>
                <w:rFonts w:ascii="Calibri" w:hAnsi="Calibri" w:cs="Calibri"/>
                <w:color w:val="000000"/>
                <w:sz w:val="22"/>
                <w:szCs w:val="22"/>
              </w:rPr>
              <w:t>4.00</w:t>
            </w:r>
          </w:p>
        </w:tc>
      </w:tr>
      <w:tr w:rsidR="00F427AD" w:rsidRPr="00F427AD" w14:paraId="591E954B" w14:textId="77777777" w:rsidTr="00874A11">
        <w:trPr>
          <w:trHeight w:val="301"/>
        </w:trPr>
        <w:tc>
          <w:tcPr>
            <w:tcW w:w="4505" w:type="dxa"/>
            <w:tcBorders>
              <w:top w:val="nil"/>
              <w:left w:val="single" w:sz="4" w:space="0" w:color="auto"/>
              <w:bottom w:val="single" w:sz="4" w:space="0" w:color="auto"/>
              <w:right w:val="single" w:sz="4" w:space="0" w:color="auto"/>
            </w:tcBorders>
            <w:shd w:val="clear" w:color="000000" w:fill="92D050"/>
            <w:noWrap/>
            <w:vAlign w:val="bottom"/>
            <w:hideMark/>
          </w:tcPr>
          <w:p w14:paraId="59628BCC" w14:textId="77777777" w:rsidR="000626CC" w:rsidRPr="00874A11" w:rsidRDefault="000626CC" w:rsidP="00154E06">
            <w:pPr>
              <w:keepNext/>
              <w:rPr>
                <w:rFonts w:ascii="Calibri" w:hAnsi="Calibri" w:cs="Calibri"/>
                <w:color w:val="000000"/>
                <w:sz w:val="22"/>
                <w:szCs w:val="22"/>
              </w:rPr>
            </w:pPr>
            <w:r w:rsidRPr="00874A11">
              <w:rPr>
                <w:rFonts w:ascii="Calibri" w:hAnsi="Calibri" w:cs="Calibri"/>
                <w:color w:val="000000"/>
                <w:sz w:val="22"/>
                <w:szCs w:val="22"/>
              </w:rPr>
              <w:t>Horse Butte Wind Phase II</w:t>
            </w:r>
          </w:p>
        </w:tc>
        <w:tc>
          <w:tcPr>
            <w:tcW w:w="1372" w:type="dxa"/>
            <w:tcBorders>
              <w:top w:val="nil"/>
              <w:left w:val="nil"/>
              <w:bottom w:val="single" w:sz="4" w:space="0" w:color="auto"/>
              <w:right w:val="single" w:sz="4" w:space="0" w:color="auto"/>
            </w:tcBorders>
            <w:shd w:val="clear" w:color="auto" w:fill="auto"/>
            <w:noWrap/>
            <w:vAlign w:val="bottom"/>
            <w:hideMark/>
          </w:tcPr>
          <w:p w14:paraId="3499EEFF" w14:textId="77777777" w:rsidR="000626CC" w:rsidRPr="00874A11" w:rsidRDefault="000626CC" w:rsidP="00154E06">
            <w:pPr>
              <w:keepNext/>
              <w:jc w:val="right"/>
              <w:rPr>
                <w:rFonts w:ascii="Calibri" w:hAnsi="Calibri" w:cs="Calibri"/>
                <w:color w:val="000000"/>
                <w:sz w:val="22"/>
                <w:szCs w:val="22"/>
              </w:rPr>
            </w:pPr>
            <w:r w:rsidRPr="00874A11">
              <w:rPr>
                <w:rFonts w:ascii="Calibri" w:hAnsi="Calibri" w:cs="Calibri"/>
                <w:color w:val="000000"/>
                <w:sz w:val="22"/>
                <w:szCs w:val="22"/>
              </w:rPr>
              <w:t>2026</w:t>
            </w:r>
          </w:p>
        </w:tc>
        <w:tc>
          <w:tcPr>
            <w:tcW w:w="1228" w:type="dxa"/>
            <w:tcBorders>
              <w:top w:val="nil"/>
              <w:left w:val="nil"/>
              <w:bottom w:val="single" w:sz="4" w:space="0" w:color="auto"/>
              <w:right w:val="single" w:sz="4" w:space="0" w:color="auto"/>
            </w:tcBorders>
            <w:shd w:val="clear" w:color="auto" w:fill="auto"/>
            <w:noWrap/>
            <w:vAlign w:val="center"/>
            <w:hideMark/>
          </w:tcPr>
          <w:p w14:paraId="107276F8" w14:textId="77777777" w:rsidR="000626CC" w:rsidRPr="00874A11" w:rsidRDefault="000626CC" w:rsidP="00154E06">
            <w:pPr>
              <w:keepNext/>
              <w:jc w:val="center"/>
              <w:rPr>
                <w:rFonts w:ascii="Calibri" w:hAnsi="Calibri" w:cs="Calibri"/>
                <w:color w:val="000000"/>
                <w:sz w:val="22"/>
                <w:szCs w:val="22"/>
              </w:rPr>
            </w:pPr>
            <w:r w:rsidRPr="00874A11">
              <w:rPr>
                <w:rFonts w:ascii="Calibri" w:hAnsi="Calibri" w:cs="Calibri"/>
                <w:color w:val="000000"/>
                <w:sz w:val="22"/>
                <w:szCs w:val="22"/>
              </w:rPr>
              <w:t>N/A</w:t>
            </w:r>
          </w:p>
        </w:tc>
        <w:tc>
          <w:tcPr>
            <w:tcW w:w="1260" w:type="dxa"/>
            <w:tcBorders>
              <w:top w:val="nil"/>
              <w:left w:val="nil"/>
              <w:bottom w:val="single" w:sz="4" w:space="0" w:color="auto"/>
              <w:right w:val="single" w:sz="4" w:space="0" w:color="auto"/>
            </w:tcBorders>
            <w:shd w:val="clear" w:color="auto" w:fill="auto"/>
            <w:noWrap/>
            <w:vAlign w:val="bottom"/>
            <w:hideMark/>
          </w:tcPr>
          <w:p w14:paraId="124AC2C4" w14:textId="77777777" w:rsidR="000626CC" w:rsidRPr="00874A11" w:rsidRDefault="000626CC" w:rsidP="00154E06">
            <w:pPr>
              <w:keepNext/>
              <w:jc w:val="right"/>
              <w:rPr>
                <w:rFonts w:ascii="Calibri" w:hAnsi="Calibri" w:cs="Calibri"/>
                <w:color w:val="000000"/>
                <w:sz w:val="22"/>
                <w:szCs w:val="22"/>
              </w:rPr>
            </w:pPr>
            <w:r w:rsidRPr="00874A11">
              <w:rPr>
                <w:rFonts w:ascii="Calibri" w:hAnsi="Calibri" w:cs="Calibri"/>
                <w:color w:val="000000"/>
                <w:sz w:val="22"/>
                <w:szCs w:val="22"/>
              </w:rPr>
              <w:t>11.05</w:t>
            </w:r>
          </w:p>
        </w:tc>
      </w:tr>
      <w:tr w:rsidR="00F427AD" w:rsidRPr="00F427AD" w14:paraId="20280855" w14:textId="77777777" w:rsidTr="00874A11">
        <w:trPr>
          <w:trHeight w:val="301"/>
        </w:trPr>
        <w:tc>
          <w:tcPr>
            <w:tcW w:w="4505" w:type="dxa"/>
            <w:tcBorders>
              <w:top w:val="nil"/>
              <w:left w:val="single" w:sz="4" w:space="0" w:color="auto"/>
              <w:bottom w:val="single" w:sz="4" w:space="0" w:color="auto"/>
              <w:right w:val="single" w:sz="4" w:space="0" w:color="auto"/>
            </w:tcBorders>
            <w:shd w:val="clear" w:color="000000" w:fill="92D050"/>
            <w:noWrap/>
            <w:vAlign w:val="bottom"/>
            <w:hideMark/>
          </w:tcPr>
          <w:p w14:paraId="05525204" w14:textId="77777777" w:rsidR="000626CC" w:rsidRPr="00874A11" w:rsidRDefault="000626CC" w:rsidP="00154E06">
            <w:pPr>
              <w:keepNext/>
              <w:rPr>
                <w:rFonts w:ascii="Calibri" w:hAnsi="Calibri" w:cs="Calibri"/>
                <w:color w:val="000000"/>
                <w:sz w:val="22"/>
                <w:szCs w:val="22"/>
              </w:rPr>
            </w:pPr>
            <w:r w:rsidRPr="00874A11">
              <w:rPr>
                <w:rFonts w:ascii="Calibri" w:hAnsi="Calibri" w:cs="Calibri"/>
                <w:color w:val="000000"/>
                <w:sz w:val="22"/>
                <w:szCs w:val="22"/>
              </w:rPr>
              <w:t>Geothermal Resource</w:t>
            </w:r>
          </w:p>
        </w:tc>
        <w:tc>
          <w:tcPr>
            <w:tcW w:w="1372" w:type="dxa"/>
            <w:tcBorders>
              <w:top w:val="nil"/>
              <w:left w:val="nil"/>
              <w:bottom w:val="single" w:sz="4" w:space="0" w:color="auto"/>
              <w:right w:val="single" w:sz="4" w:space="0" w:color="auto"/>
            </w:tcBorders>
            <w:shd w:val="clear" w:color="auto" w:fill="auto"/>
            <w:noWrap/>
            <w:vAlign w:val="bottom"/>
            <w:hideMark/>
          </w:tcPr>
          <w:p w14:paraId="422108EB" w14:textId="77777777" w:rsidR="000626CC" w:rsidRPr="00874A11" w:rsidRDefault="000626CC" w:rsidP="00154E06">
            <w:pPr>
              <w:keepNext/>
              <w:jc w:val="right"/>
              <w:rPr>
                <w:rFonts w:ascii="Calibri" w:hAnsi="Calibri" w:cs="Calibri"/>
                <w:color w:val="000000"/>
                <w:sz w:val="22"/>
                <w:szCs w:val="22"/>
              </w:rPr>
            </w:pPr>
            <w:r w:rsidRPr="00874A11">
              <w:rPr>
                <w:rFonts w:ascii="Calibri" w:hAnsi="Calibri" w:cs="Calibri"/>
                <w:color w:val="000000"/>
                <w:sz w:val="22"/>
                <w:szCs w:val="22"/>
              </w:rPr>
              <w:t>2027</w:t>
            </w:r>
          </w:p>
        </w:tc>
        <w:tc>
          <w:tcPr>
            <w:tcW w:w="1228" w:type="dxa"/>
            <w:tcBorders>
              <w:top w:val="nil"/>
              <w:left w:val="nil"/>
              <w:bottom w:val="single" w:sz="4" w:space="0" w:color="auto"/>
              <w:right w:val="single" w:sz="4" w:space="0" w:color="auto"/>
            </w:tcBorders>
            <w:shd w:val="clear" w:color="auto" w:fill="auto"/>
            <w:noWrap/>
            <w:vAlign w:val="center"/>
            <w:hideMark/>
          </w:tcPr>
          <w:p w14:paraId="085FF252" w14:textId="77777777" w:rsidR="000626CC" w:rsidRPr="00874A11" w:rsidRDefault="000626CC" w:rsidP="00154E06">
            <w:pPr>
              <w:keepNext/>
              <w:jc w:val="center"/>
              <w:rPr>
                <w:rFonts w:ascii="Calibri" w:hAnsi="Calibri" w:cs="Calibri"/>
                <w:color w:val="000000"/>
                <w:sz w:val="22"/>
                <w:szCs w:val="22"/>
              </w:rPr>
            </w:pPr>
            <w:r w:rsidRPr="00874A11">
              <w:rPr>
                <w:rFonts w:ascii="Calibri" w:hAnsi="Calibri" w:cs="Calibri"/>
                <w:color w:val="000000"/>
                <w:sz w:val="22"/>
                <w:szCs w:val="22"/>
              </w:rPr>
              <w:t>N/A</w:t>
            </w:r>
          </w:p>
        </w:tc>
        <w:tc>
          <w:tcPr>
            <w:tcW w:w="1260" w:type="dxa"/>
            <w:tcBorders>
              <w:top w:val="nil"/>
              <w:left w:val="nil"/>
              <w:bottom w:val="single" w:sz="4" w:space="0" w:color="auto"/>
              <w:right w:val="single" w:sz="4" w:space="0" w:color="auto"/>
            </w:tcBorders>
            <w:shd w:val="clear" w:color="auto" w:fill="auto"/>
            <w:noWrap/>
            <w:vAlign w:val="bottom"/>
            <w:hideMark/>
          </w:tcPr>
          <w:p w14:paraId="63DFEA2F" w14:textId="77777777" w:rsidR="000626CC" w:rsidRPr="00874A11" w:rsidRDefault="000626CC" w:rsidP="00154E06">
            <w:pPr>
              <w:keepNext/>
              <w:jc w:val="right"/>
              <w:rPr>
                <w:rFonts w:ascii="Calibri" w:hAnsi="Calibri" w:cs="Calibri"/>
                <w:color w:val="000000"/>
                <w:sz w:val="22"/>
                <w:szCs w:val="22"/>
              </w:rPr>
            </w:pPr>
            <w:r w:rsidRPr="00874A11">
              <w:rPr>
                <w:rFonts w:ascii="Calibri" w:hAnsi="Calibri" w:cs="Calibri"/>
                <w:color w:val="000000"/>
                <w:sz w:val="22"/>
                <w:szCs w:val="22"/>
              </w:rPr>
              <w:t>2.45</w:t>
            </w:r>
          </w:p>
        </w:tc>
      </w:tr>
      <w:tr w:rsidR="00F427AD" w:rsidRPr="00F427AD" w14:paraId="6F1523E8" w14:textId="77777777" w:rsidTr="00874A11">
        <w:trPr>
          <w:trHeight w:val="301"/>
        </w:trPr>
        <w:tc>
          <w:tcPr>
            <w:tcW w:w="4505" w:type="dxa"/>
            <w:tcBorders>
              <w:top w:val="nil"/>
              <w:left w:val="single" w:sz="4" w:space="0" w:color="auto"/>
              <w:bottom w:val="single" w:sz="4" w:space="0" w:color="auto"/>
              <w:right w:val="single" w:sz="4" w:space="0" w:color="auto"/>
            </w:tcBorders>
            <w:shd w:val="clear" w:color="000000" w:fill="92D050"/>
            <w:noWrap/>
            <w:vAlign w:val="bottom"/>
            <w:hideMark/>
          </w:tcPr>
          <w:p w14:paraId="3AD47700" w14:textId="4593B522" w:rsidR="000626CC" w:rsidRPr="00874A11" w:rsidRDefault="004C0B6C" w:rsidP="00154E06">
            <w:pPr>
              <w:keepNext/>
              <w:rPr>
                <w:rFonts w:ascii="Calibri" w:hAnsi="Calibri" w:cs="Calibri"/>
                <w:color w:val="000000"/>
                <w:sz w:val="22"/>
                <w:szCs w:val="22"/>
              </w:rPr>
            </w:pPr>
            <w:r>
              <w:rPr>
                <w:rFonts w:ascii="Calibri" w:hAnsi="Calibri" w:cs="Calibri"/>
                <w:color w:val="000000"/>
                <w:sz w:val="22"/>
                <w:szCs w:val="22"/>
              </w:rPr>
              <w:t>4-Hour</w:t>
            </w:r>
            <w:r w:rsidR="000626CC" w:rsidRPr="00874A11">
              <w:rPr>
                <w:rFonts w:ascii="Calibri" w:hAnsi="Calibri" w:cs="Calibri"/>
                <w:color w:val="000000"/>
                <w:sz w:val="22"/>
                <w:szCs w:val="22"/>
              </w:rPr>
              <w:t xml:space="preserve"> Solar Plus Storage Resource - Solar</w:t>
            </w:r>
          </w:p>
        </w:tc>
        <w:tc>
          <w:tcPr>
            <w:tcW w:w="1372" w:type="dxa"/>
            <w:tcBorders>
              <w:top w:val="nil"/>
              <w:left w:val="nil"/>
              <w:bottom w:val="single" w:sz="4" w:space="0" w:color="auto"/>
              <w:right w:val="single" w:sz="4" w:space="0" w:color="auto"/>
            </w:tcBorders>
            <w:shd w:val="clear" w:color="auto" w:fill="auto"/>
            <w:noWrap/>
            <w:vAlign w:val="bottom"/>
            <w:hideMark/>
          </w:tcPr>
          <w:p w14:paraId="03E617D7" w14:textId="77777777" w:rsidR="000626CC" w:rsidRPr="00874A11" w:rsidRDefault="000626CC" w:rsidP="00154E06">
            <w:pPr>
              <w:keepNext/>
              <w:jc w:val="right"/>
              <w:rPr>
                <w:rFonts w:ascii="Calibri" w:hAnsi="Calibri" w:cs="Calibri"/>
                <w:color w:val="000000"/>
                <w:sz w:val="22"/>
                <w:szCs w:val="22"/>
              </w:rPr>
            </w:pPr>
            <w:r w:rsidRPr="00874A11">
              <w:rPr>
                <w:rFonts w:ascii="Calibri" w:hAnsi="Calibri" w:cs="Calibri"/>
                <w:color w:val="000000"/>
                <w:sz w:val="22"/>
                <w:szCs w:val="22"/>
              </w:rPr>
              <w:t>2027</w:t>
            </w:r>
          </w:p>
        </w:tc>
        <w:tc>
          <w:tcPr>
            <w:tcW w:w="1228" w:type="dxa"/>
            <w:tcBorders>
              <w:top w:val="nil"/>
              <w:left w:val="nil"/>
              <w:bottom w:val="single" w:sz="4" w:space="0" w:color="auto"/>
              <w:right w:val="single" w:sz="4" w:space="0" w:color="auto"/>
            </w:tcBorders>
            <w:shd w:val="clear" w:color="auto" w:fill="auto"/>
            <w:noWrap/>
            <w:vAlign w:val="center"/>
            <w:hideMark/>
          </w:tcPr>
          <w:p w14:paraId="2D2D489B" w14:textId="77777777" w:rsidR="000626CC" w:rsidRPr="00874A11" w:rsidRDefault="000626CC" w:rsidP="00154E06">
            <w:pPr>
              <w:keepNext/>
              <w:jc w:val="center"/>
              <w:rPr>
                <w:rFonts w:ascii="Calibri" w:hAnsi="Calibri" w:cs="Calibri"/>
                <w:color w:val="000000"/>
                <w:sz w:val="22"/>
                <w:szCs w:val="22"/>
              </w:rPr>
            </w:pPr>
            <w:r w:rsidRPr="00874A11">
              <w:rPr>
                <w:rFonts w:ascii="Calibri" w:hAnsi="Calibri" w:cs="Calibri"/>
                <w:color w:val="000000"/>
                <w:sz w:val="22"/>
                <w:szCs w:val="22"/>
              </w:rPr>
              <w:t>N/A</w:t>
            </w:r>
          </w:p>
        </w:tc>
        <w:tc>
          <w:tcPr>
            <w:tcW w:w="1260" w:type="dxa"/>
            <w:tcBorders>
              <w:top w:val="nil"/>
              <w:left w:val="nil"/>
              <w:bottom w:val="single" w:sz="4" w:space="0" w:color="auto"/>
              <w:right w:val="single" w:sz="4" w:space="0" w:color="auto"/>
            </w:tcBorders>
            <w:shd w:val="clear" w:color="auto" w:fill="auto"/>
            <w:noWrap/>
            <w:vAlign w:val="bottom"/>
            <w:hideMark/>
          </w:tcPr>
          <w:p w14:paraId="3D47304F" w14:textId="77777777" w:rsidR="000626CC" w:rsidRPr="00874A11" w:rsidRDefault="000626CC" w:rsidP="00154E06">
            <w:pPr>
              <w:keepNext/>
              <w:jc w:val="right"/>
              <w:rPr>
                <w:rFonts w:ascii="Calibri" w:hAnsi="Calibri" w:cs="Calibri"/>
                <w:color w:val="000000"/>
                <w:sz w:val="22"/>
                <w:szCs w:val="22"/>
              </w:rPr>
            </w:pPr>
            <w:r w:rsidRPr="00874A11">
              <w:rPr>
                <w:rFonts w:ascii="Calibri" w:hAnsi="Calibri" w:cs="Calibri"/>
                <w:color w:val="000000"/>
                <w:sz w:val="22"/>
                <w:szCs w:val="22"/>
              </w:rPr>
              <w:t>6.00</w:t>
            </w:r>
          </w:p>
        </w:tc>
      </w:tr>
      <w:tr w:rsidR="00F427AD" w:rsidRPr="00F427AD" w14:paraId="1CE296C3" w14:textId="77777777" w:rsidTr="00874A11">
        <w:trPr>
          <w:trHeight w:val="301"/>
        </w:trPr>
        <w:tc>
          <w:tcPr>
            <w:tcW w:w="4505" w:type="dxa"/>
            <w:tcBorders>
              <w:top w:val="nil"/>
              <w:left w:val="single" w:sz="4" w:space="0" w:color="auto"/>
              <w:bottom w:val="single" w:sz="4" w:space="0" w:color="auto"/>
              <w:right w:val="single" w:sz="4" w:space="0" w:color="auto"/>
            </w:tcBorders>
            <w:shd w:val="clear" w:color="000000" w:fill="DBDBDB"/>
            <w:noWrap/>
            <w:vAlign w:val="bottom"/>
            <w:hideMark/>
          </w:tcPr>
          <w:p w14:paraId="190F79FD" w14:textId="492EBCE2" w:rsidR="000626CC" w:rsidRPr="00874A11" w:rsidRDefault="004C0B6C" w:rsidP="00154E06">
            <w:pPr>
              <w:keepNext/>
              <w:rPr>
                <w:rFonts w:ascii="Calibri" w:hAnsi="Calibri" w:cs="Calibri"/>
                <w:color w:val="000000"/>
                <w:sz w:val="22"/>
                <w:szCs w:val="22"/>
              </w:rPr>
            </w:pPr>
            <w:r>
              <w:rPr>
                <w:rFonts w:ascii="Calibri" w:hAnsi="Calibri" w:cs="Calibri"/>
                <w:color w:val="000000"/>
                <w:sz w:val="22"/>
                <w:szCs w:val="22"/>
              </w:rPr>
              <w:t>4-Hour</w:t>
            </w:r>
            <w:r w:rsidR="000626CC" w:rsidRPr="00874A11">
              <w:rPr>
                <w:rFonts w:ascii="Calibri" w:hAnsi="Calibri" w:cs="Calibri"/>
                <w:color w:val="000000"/>
                <w:sz w:val="22"/>
                <w:szCs w:val="22"/>
              </w:rPr>
              <w:t xml:space="preserve"> Solar Plus Storage Resource - Storage</w:t>
            </w:r>
          </w:p>
        </w:tc>
        <w:tc>
          <w:tcPr>
            <w:tcW w:w="1372" w:type="dxa"/>
            <w:tcBorders>
              <w:top w:val="nil"/>
              <w:left w:val="nil"/>
              <w:bottom w:val="single" w:sz="4" w:space="0" w:color="auto"/>
              <w:right w:val="single" w:sz="4" w:space="0" w:color="auto"/>
            </w:tcBorders>
            <w:shd w:val="clear" w:color="auto" w:fill="auto"/>
            <w:noWrap/>
            <w:vAlign w:val="bottom"/>
            <w:hideMark/>
          </w:tcPr>
          <w:p w14:paraId="01C79862" w14:textId="77777777" w:rsidR="000626CC" w:rsidRPr="00874A11" w:rsidRDefault="000626CC" w:rsidP="00154E06">
            <w:pPr>
              <w:keepNext/>
              <w:jc w:val="right"/>
              <w:rPr>
                <w:rFonts w:ascii="Calibri" w:hAnsi="Calibri" w:cs="Calibri"/>
                <w:color w:val="000000"/>
                <w:sz w:val="22"/>
                <w:szCs w:val="22"/>
              </w:rPr>
            </w:pPr>
            <w:r w:rsidRPr="00874A11">
              <w:rPr>
                <w:rFonts w:ascii="Calibri" w:hAnsi="Calibri" w:cs="Calibri"/>
                <w:color w:val="000000"/>
                <w:sz w:val="22"/>
                <w:szCs w:val="22"/>
              </w:rPr>
              <w:t>2027</w:t>
            </w:r>
          </w:p>
        </w:tc>
        <w:tc>
          <w:tcPr>
            <w:tcW w:w="1228" w:type="dxa"/>
            <w:tcBorders>
              <w:top w:val="nil"/>
              <w:left w:val="nil"/>
              <w:bottom w:val="single" w:sz="4" w:space="0" w:color="auto"/>
              <w:right w:val="single" w:sz="4" w:space="0" w:color="auto"/>
            </w:tcBorders>
            <w:shd w:val="clear" w:color="auto" w:fill="auto"/>
            <w:noWrap/>
            <w:vAlign w:val="center"/>
            <w:hideMark/>
          </w:tcPr>
          <w:p w14:paraId="612DA74A" w14:textId="77777777" w:rsidR="000626CC" w:rsidRPr="00874A11" w:rsidRDefault="000626CC" w:rsidP="00154E06">
            <w:pPr>
              <w:keepNext/>
              <w:jc w:val="center"/>
              <w:rPr>
                <w:rFonts w:ascii="Calibri" w:hAnsi="Calibri" w:cs="Calibri"/>
                <w:color w:val="000000"/>
                <w:sz w:val="22"/>
                <w:szCs w:val="22"/>
              </w:rPr>
            </w:pPr>
            <w:r w:rsidRPr="00874A11">
              <w:rPr>
                <w:rFonts w:ascii="Calibri" w:hAnsi="Calibri" w:cs="Calibri"/>
                <w:color w:val="000000"/>
                <w:sz w:val="22"/>
                <w:szCs w:val="22"/>
              </w:rPr>
              <w:t>N/A</w:t>
            </w:r>
          </w:p>
        </w:tc>
        <w:tc>
          <w:tcPr>
            <w:tcW w:w="1260" w:type="dxa"/>
            <w:tcBorders>
              <w:top w:val="nil"/>
              <w:left w:val="nil"/>
              <w:bottom w:val="single" w:sz="4" w:space="0" w:color="auto"/>
              <w:right w:val="single" w:sz="4" w:space="0" w:color="auto"/>
            </w:tcBorders>
            <w:shd w:val="clear" w:color="auto" w:fill="auto"/>
            <w:noWrap/>
            <w:vAlign w:val="bottom"/>
            <w:hideMark/>
          </w:tcPr>
          <w:p w14:paraId="2F77AADC" w14:textId="77777777" w:rsidR="000626CC" w:rsidRPr="00874A11" w:rsidRDefault="000626CC" w:rsidP="00154E06">
            <w:pPr>
              <w:keepNext/>
              <w:jc w:val="right"/>
              <w:rPr>
                <w:rFonts w:ascii="Calibri" w:hAnsi="Calibri" w:cs="Calibri"/>
                <w:color w:val="000000"/>
                <w:sz w:val="22"/>
                <w:szCs w:val="22"/>
              </w:rPr>
            </w:pPr>
            <w:r w:rsidRPr="00874A11">
              <w:rPr>
                <w:rFonts w:ascii="Calibri" w:hAnsi="Calibri" w:cs="Calibri"/>
                <w:color w:val="000000"/>
                <w:sz w:val="22"/>
                <w:szCs w:val="22"/>
              </w:rPr>
              <w:t>3.00</w:t>
            </w:r>
          </w:p>
        </w:tc>
      </w:tr>
      <w:tr w:rsidR="00F427AD" w:rsidRPr="00F427AD" w14:paraId="412668CA" w14:textId="77777777" w:rsidTr="00874A11">
        <w:trPr>
          <w:trHeight w:val="301"/>
        </w:trPr>
        <w:tc>
          <w:tcPr>
            <w:tcW w:w="4505" w:type="dxa"/>
            <w:tcBorders>
              <w:top w:val="nil"/>
              <w:left w:val="single" w:sz="4" w:space="0" w:color="auto"/>
              <w:bottom w:val="single" w:sz="4" w:space="0" w:color="auto"/>
              <w:right w:val="single" w:sz="4" w:space="0" w:color="auto"/>
            </w:tcBorders>
            <w:shd w:val="clear" w:color="000000" w:fill="92D050"/>
            <w:noWrap/>
            <w:vAlign w:val="bottom"/>
            <w:hideMark/>
          </w:tcPr>
          <w:p w14:paraId="3BBE6C57" w14:textId="5BF977DD" w:rsidR="000626CC" w:rsidRPr="00874A11" w:rsidRDefault="00755986" w:rsidP="00154E06">
            <w:pPr>
              <w:keepNext/>
              <w:rPr>
                <w:rFonts w:ascii="Calibri" w:hAnsi="Calibri" w:cs="Calibri"/>
                <w:color w:val="000000"/>
                <w:sz w:val="22"/>
                <w:szCs w:val="22"/>
              </w:rPr>
            </w:pPr>
            <w:r>
              <w:rPr>
                <w:rFonts w:ascii="Calibri" w:hAnsi="Calibri" w:cs="Calibri"/>
                <w:color w:val="000000"/>
                <w:sz w:val="22"/>
                <w:szCs w:val="22"/>
              </w:rPr>
              <w:t>8-Hour</w:t>
            </w:r>
            <w:r w:rsidR="000626CC" w:rsidRPr="00874A11">
              <w:rPr>
                <w:rFonts w:ascii="Calibri" w:hAnsi="Calibri" w:cs="Calibri"/>
                <w:color w:val="000000"/>
                <w:sz w:val="22"/>
                <w:szCs w:val="22"/>
              </w:rPr>
              <w:t xml:space="preserve"> Solar Plus Storage Resource - Solar</w:t>
            </w:r>
          </w:p>
        </w:tc>
        <w:tc>
          <w:tcPr>
            <w:tcW w:w="1372" w:type="dxa"/>
            <w:tcBorders>
              <w:top w:val="nil"/>
              <w:left w:val="nil"/>
              <w:bottom w:val="single" w:sz="4" w:space="0" w:color="auto"/>
              <w:right w:val="single" w:sz="4" w:space="0" w:color="auto"/>
            </w:tcBorders>
            <w:shd w:val="clear" w:color="auto" w:fill="auto"/>
            <w:noWrap/>
            <w:vAlign w:val="bottom"/>
            <w:hideMark/>
          </w:tcPr>
          <w:p w14:paraId="134F139C" w14:textId="77777777" w:rsidR="000626CC" w:rsidRPr="00874A11" w:rsidRDefault="000626CC" w:rsidP="00154E06">
            <w:pPr>
              <w:keepNext/>
              <w:jc w:val="right"/>
              <w:rPr>
                <w:rFonts w:ascii="Calibri" w:hAnsi="Calibri" w:cs="Calibri"/>
                <w:color w:val="000000"/>
                <w:sz w:val="22"/>
                <w:szCs w:val="22"/>
              </w:rPr>
            </w:pPr>
            <w:r w:rsidRPr="00874A11">
              <w:rPr>
                <w:rFonts w:ascii="Calibri" w:hAnsi="Calibri" w:cs="Calibri"/>
                <w:color w:val="000000"/>
                <w:sz w:val="22"/>
                <w:szCs w:val="22"/>
              </w:rPr>
              <w:t>2027</w:t>
            </w:r>
          </w:p>
        </w:tc>
        <w:tc>
          <w:tcPr>
            <w:tcW w:w="1228" w:type="dxa"/>
            <w:tcBorders>
              <w:top w:val="nil"/>
              <w:left w:val="nil"/>
              <w:bottom w:val="single" w:sz="4" w:space="0" w:color="auto"/>
              <w:right w:val="single" w:sz="4" w:space="0" w:color="auto"/>
            </w:tcBorders>
            <w:shd w:val="clear" w:color="auto" w:fill="auto"/>
            <w:noWrap/>
            <w:vAlign w:val="center"/>
            <w:hideMark/>
          </w:tcPr>
          <w:p w14:paraId="5BAFFE85" w14:textId="77777777" w:rsidR="000626CC" w:rsidRPr="00874A11" w:rsidRDefault="000626CC" w:rsidP="00154E06">
            <w:pPr>
              <w:keepNext/>
              <w:jc w:val="center"/>
              <w:rPr>
                <w:rFonts w:ascii="Calibri" w:hAnsi="Calibri" w:cs="Calibri"/>
                <w:color w:val="000000"/>
                <w:sz w:val="22"/>
                <w:szCs w:val="22"/>
              </w:rPr>
            </w:pPr>
            <w:r w:rsidRPr="00874A11">
              <w:rPr>
                <w:rFonts w:ascii="Calibri" w:hAnsi="Calibri" w:cs="Calibri"/>
                <w:color w:val="000000"/>
                <w:sz w:val="22"/>
                <w:szCs w:val="22"/>
              </w:rPr>
              <w:t>N/A</w:t>
            </w:r>
          </w:p>
        </w:tc>
        <w:tc>
          <w:tcPr>
            <w:tcW w:w="1260" w:type="dxa"/>
            <w:tcBorders>
              <w:top w:val="nil"/>
              <w:left w:val="nil"/>
              <w:bottom w:val="single" w:sz="4" w:space="0" w:color="auto"/>
              <w:right w:val="single" w:sz="4" w:space="0" w:color="auto"/>
            </w:tcBorders>
            <w:shd w:val="clear" w:color="auto" w:fill="auto"/>
            <w:noWrap/>
            <w:vAlign w:val="bottom"/>
            <w:hideMark/>
          </w:tcPr>
          <w:p w14:paraId="09C40CA9" w14:textId="77777777" w:rsidR="000626CC" w:rsidRPr="00874A11" w:rsidRDefault="000626CC" w:rsidP="00154E06">
            <w:pPr>
              <w:keepNext/>
              <w:jc w:val="right"/>
              <w:rPr>
                <w:rFonts w:ascii="Calibri" w:hAnsi="Calibri" w:cs="Calibri"/>
                <w:color w:val="000000"/>
                <w:sz w:val="22"/>
                <w:szCs w:val="22"/>
              </w:rPr>
            </w:pPr>
            <w:r w:rsidRPr="00874A11">
              <w:rPr>
                <w:rFonts w:ascii="Calibri" w:hAnsi="Calibri" w:cs="Calibri"/>
                <w:color w:val="000000"/>
                <w:sz w:val="22"/>
                <w:szCs w:val="22"/>
              </w:rPr>
              <w:t>6.00</w:t>
            </w:r>
          </w:p>
        </w:tc>
      </w:tr>
      <w:tr w:rsidR="00F427AD" w:rsidRPr="00F427AD" w14:paraId="08A4C6F0" w14:textId="77777777" w:rsidTr="00874A11">
        <w:trPr>
          <w:trHeight w:val="301"/>
        </w:trPr>
        <w:tc>
          <w:tcPr>
            <w:tcW w:w="4505" w:type="dxa"/>
            <w:tcBorders>
              <w:top w:val="nil"/>
              <w:left w:val="single" w:sz="4" w:space="0" w:color="auto"/>
              <w:bottom w:val="single" w:sz="4" w:space="0" w:color="auto"/>
              <w:right w:val="single" w:sz="4" w:space="0" w:color="auto"/>
            </w:tcBorders>
            <w:shd w:val="clear" w:color="000000" w:fill="DBDBDB"/>
            <w:noWrap/>
            <w:vAlign w:val="bottom"/>
            <w:hideMark/>
          </w:tcPr>
          <w:p w14:paraId="798EEC77" w14:textId="367C1246" w:rsidR="000626CC" w:rsidRPr="00874A11" w:rsidRDefault="004C0B6C" w:rsidP="00154E06">
            <w:pPr>
              <w:keepNext/>
              <w:rPr>
                <w:rFonts w:ascii="Calibri" w:hAnsi="Calibri" w:cs="Calibri"/>
                <w:color w:val="000000"/>
                <w:sz w:val="22"/>
                <w:szCs w:val="22"/>
              </w:rPr>
            </w:pPr>
            <w:r>
              <w:rPr>
                <w:rFonts w:ascii="Calibri" w:hAnsi="Calibri" w:cs="Calibri"/>
                <w:color w:val="000000"/>
                <w:sz w:val="22"/>
                <w:szCs w:val="22"/>
              </w:rPr>
              <w:t>8-Hour</w:t>
            </w:r>
            <w:r w:rsidR="000626CC" w:rsidRPr="00874A11">
              <w:rPr>
                <w:rFonts w:ascii="Calibri" w:hAnsi="Calibri" w:cs="Calibri"/>
                <w:color w:val="000000"/>
                <w:sz w:val="22"/>
                <w:szCs w:val="22"/>
              </w:rPr>
              <w:t xml:space="preserve"> Solar Plus Storage Resource - Storage</w:t>
            </w:r>
          </w:p>
        </w:tc>
        <w:tc>
          <w:tcPr>
            <w:tcW w:w="1372" w:type="dxa"/>
            <w:tcBorders>
              <w:top w:val="nil"/>
              <w:left w:val="nil"/>
              <w:bottom w:val="single" w:sz="4" w:space="0" w:color="auto"/>
              <w:right w:val="single" w:sz="4" w:space="0" w:color="auto"/>
            </w:tcBorders>
            <w:shd w:val="clear" w:color="auto" w:fill="auto"/>
            <w:noWrap/>
            <w:vAlign w:val="bottom"/>
            <w:hideMark/>
          </w:tcPr>
          <w:p w14:paraId="7B127E53" w14:textId="77777777" w:rsidR="000626CC" w:rsidRPr="00874A11" w:rsidRDefault="000626CC" w:rsidP="00154E06">
            <w:pPr>
              <w:keepNext/>
              <w:jc w:val="right"/>
              <w:rPr>
                <w:rFonts w:ascii="Calibri" w:hAnsi="Calibri" w:cs="Calibri"/>
                <w:color w:val="000000"/>
                <w:sz w:val="22"/>
                <w:szCs w:val="22"/>
              </w:rPr>
            </w:pPr>
            <w:r w:rsidRPr="00874A11">
              <w:rPr>
                <w:rFonts w:ascii="Calibri" w:hAnsi="Calibri" w:cs="Calibri"/>
                <w:color w:val="000000"/>
                <w:sz w:val="22"/>
                <w:szCs w:val="22"/>
              </w:rPr>
              <w:t>2027</w:t>
            </w:r>
          </w:p>
        </w:tc>
        <w:tc>
          <w:tcPr>
            <w:tcW w:w="1228" w:type="dxa"/>
            <w:tcBorders>
              <w:top w:val="nil"/>
              <w:left w:val="nil"/>
              <w:bottom w:val="single" w:sz="4" w:space="0" w:color="auto"/>
              <w:right w:val="single" w:sz="4" w:space="0" w:color="auto"/>
            </w:tcBorders>
            <w:shd w:val="clear" w:color="auto" w:fill="auto"/>
            <w:noWrap/>
            <w:vAlign w:val="center"/>
            <w:hideMark/>
          </w:tcPr>
          <w:p w14:paraId="0F8521FA" w14:textId="77777777" w:rsidR="000626CC" w:rsidRPr="00874A11" w:rsidRDefault="000626CC" w:rsidP="00154E06">
            <w:pPr>
              <w:keepNext/>
              <w:jc w:val="center"/>
              <w:rPr>
                <w:rFonts w:ascii="Calibri" w:hAnsi="Calibri" w:cs="Calibri"/>
                <w:color w:val="000000"/>
                <w:sz w:val="22"/>
                <w:szCs w:val="22"/>
              </w:rPr>
            </w:pPr>
            <w:r w:rsidRPr="00874A11">
              <w:rPr>
                <w:rFonts w:ascii="Calibri" w:hAnsi="Calibri" w:cs="Calibri"/>
                <w:color w:val="000000"/>
                <w:sz w:val="22"/>
                <w:szCs w:val="22"/>
              </w:rPr>
              <w:t>N/A</w:t>
            </w:r>
          </w:p>
        </w:tc>
        <w:tc>
          <w:tcPr>
            <w:tcW w:w="1260" w:type="dxa"/>
            <w:tcBorders>
              <w:top w:val="nil"/>
              <w:left w:val="nil"/>
              <w:bottom w:val="single" w:sz="4" w:space="0" w:color="auto"/>
              <w:right w:val="single" w:sz="4" w:space="0" w:color="auto"/>
            </w:tcBorders>
            <w:shd w:val="clear" w:color="auto" w:fill="auto"/>
            <w:noWrap/>
            <w:vAlign w:val="bottom"/>
            <w:hideMark/>
          </w:tcPr>
          <w:p w14:paraId="017535FC" w14:textId="77777777" w:rsidR="000626CC" w:rsidRPr="00874A11" w:rsidRDefault="000626CC" w:rsidP="00154E06">
            <w:pPr>
              <w:keepNext/>
              <w:jc w:val="right"/>
              <w:rPr>
                <w:rFonts w:ascii="Calibri" w:hAnsi="Calibri" w:cs="Calibri"/>
                <w:color w:val="000000"/>
                <w:sz w:val="22"/>
                <w:szCs w:val="22"/>
              </w:rPr>
            </w:pPr>
            <w:r w:rsidRPr="00874A11">
              <w:rPr>
                <w:rFonts w:ascii="Calibri" w:hAnsi="Calibri" w:cs="Calibri"/>
                <w:color w:val="000000"/>
                <w:sz w:val="22"/>
                <w:szCs w:val="22"/>
              </w:rPr>
              <w:t>3.00</w:t>
            </w:r>
          </w:p>
        </w:tc>
      </w:tr>
      <w:tr w:rsidR="00F427AD" w:rsidRPr="00F427AD" w14:paraId="70D44400" w14:textId="77777777" w:rsidTr="00874A11">
        <w:trPr>
          <w:trHeight w:val="301"/>
        </w:trPr>
        <w:tc>
          <w:tcPr>
            <w:tcW w:w="4505" w:type="dxa"/>
            <w:tcBorders>
              <w:top w:val="nil"/>
              <w:left w:val="single" w:sz="4" w:space="0" w:color="auto"/>
              <w:bottom w:val="single" w:sz="4" w:space="0" w:color="auto"/>
              <w:right w:val="single" w:sz="4" w:space="0" w:color="auto"/>
            </w:tcBorders>
            <w:shd w:val="clear" w:color="000000" w:fill="00B0F0"/>
            <w:noWrap/>
            <w:vAlign w:val="bottom"/>
            <w:hideMark/>
          </w:tcPr>
          <w:p w14:paraId="3470961E" w14:textId="77777777" w:rsidR="000626CC" w:rsidRPr="00874A11" w:rsidRDefault="000626CC" w:rsidP="00154E06">
            <w:pPr>
              <w:keepNext/>
              <w:rPr>
                <w:rFonts w:ascii="Calibri" w:hAnsi="Calibri" w:cs="Calibri"/>
                <w:color w:val="000000"/>
                <w:sz w:val="22"/>
                <w:szCs w:val="22"/>
              </w:rPr>
            </w:pPr>
            <w:r w:rsidRPr="00874A11">
              <w:rPr>
                <w:rFonts w:ascii="Calibri" w:hAnsi="Calibri" w:cs="Calibri"/>
                <w:color w:val="000000"/>
                <w:sz w:val="22"/>
                <w:szCs w:val="22"/>
              </w:rPr>
              <w:t>Carbon Free Power Project</w:t>
            </w:r>
          </w:p>
        </w:tc>
        <w:tc>
          <w:tcPr>
            <w:tcW w:w="1372" w:type="dxa"/>
            <w:tcBorders>
              <w:top w:val="nil"/>
              <w:left w:val="nil"/>
              <w:bottom w:val="single" w:sz="4" w:space="0" w:color="auto"/>
              <w:right w:val="single" w:sz="4" w:space="0" w:color="auto"/>
            </w:tcBorders>
            <w:shd w:val="clear" w:color="auto" w:fill="auto"/>
            <w:noWrap/>
            <w:vAlign w:val="bottom"/>
            <w:hideMark/>
          </w:tcPr>
          <w:p w14:paraId="5E3BD354" w14:textId="77777777" w:rsidR="000626CC" w:rsidRPr="00874A11" w:rsidRDefault="000626CC" w:rsidP="00154E06">
            <w:pPr>
              <w:keepNext/>
              <w:jc w:val="right"/>
              <w:rPr>
                <w:rFonts w:ascii="Calibri" w:hAnsi="Calibri" w:cs="Calibri"/>
                <w:color w:val="000000"/>
                <w:sz w:val="22"/>
                <w:szCs w:val="22"/>
              </w:rPr>
            </w:pPr>
            <w:r w:rsidRPr="00874A11">
              <w:rPr>
                <w:rFonts w:ascii="Calibri" w:hAnsi="Calibri" w:cs="Calibri"/>
                <w:color w:val="000000"/>
                <w:sz w:val="22"/>
                <w:szCs w:val="22"/>
              </w:rPr>
              <w:t>2099</w:t>
            </w:r>
          </w:p>
        </w:tc>
        <w:tc>
          <w:tcPr>
            <w:tcW w:w="1228" w:type="dxa"/>
            <w:tcBorders>
              <w:top w:val="nil"/>
              <w:left w:val="nil"/>
              <w:bottom w:val="single" w:sz="4" w:space="0" w:color="auto"/>
              <w:right w:val="single" w:sz="4" w:space="0" w:color="auto"/>
            </w:tcBorders>
            <w:shd w:val="clear" w:color="auto" w:fill="auto"/>
            <w:noWrap/>
            <w:vAlign w:val="center"/>
            <w:hideMark/>
          </w:tcPr>
          <w:p w14:paraId="38271838" w14:textId="77777777" w:rsidR="000626CC" w:rsidRPr="00874A11" w:rsidRDefault="000626CC" w:rsidP="00154E06">
            <w:pPr>
              <w:keepNext/>
              <w:jc w:val="center"/>
              <w:rPr>
                <w:rFonts w:ascii="Calibri" w:hAnsi="Calibri" w:cs="Calibri"/>
                <w:color w:val="000000"/>
                <w:sz w:val="22"/>
                <w:szCs w:val="22"/>
              </w:rPr>
            </w:pPr>
            <w:r w:rsidRPr="00874A11">
              <w:rPr>
                <w:rFonts w:ascii="Calibri" w:hAnsi="Calibri" w:cs="Calibri"/>
                <w:color w:val="000000"/>
                <w:sz w:val="22"/>
                <w:szCs w:val="22"/>
              </w:rPr>
              <w:t>N/A</w:t>
            </w:r>
          </w:p>
        </w:tc>
        <w:tc>
          <w:tcPr>
            <w:tcW w:w="1260" w:type="dxa"/>
            <w:tcBorders>
              <w:top w:val="nil"/>
              <w:left w:val="nil"/>
              <w:bottom w:val="single" w:sz="4" w:space="0" w:color="auto"/>
              <w:right w:val="single" w:sz="4" w:space="0" w:color="auto"/>
            </w:tcBorders>
            <w:shd w:val="clear" w:color="auto" w:fill="auto"/>
            <w:noWrap/>
            <w:vAlign w:val="bottom"/>
            <w:hideMark/>
          </w:tcPr>
          <w:p w14:paraId="4ED8DE48" w14:textId="77777777" w:rsidR="000626CC" w:rsidRPr="00874A11" w:rsidRDefault="000626CC" w:rsidP="00154E06">
            <w:pPr>
              <w:keepNext/>
              <w:jc w:val="right"/>
              <w:rPr>
                <w:rFonts w:ascii="Calibri" w:hAnsi="Calibri" w:cs="Calibri"/>
                <w:color w:val="000000"/>
                <w:sz w:val="22"/>
                <w:szCs w:val="22"/>
              </w:rPr>
            </w:pPr>
            <w:r w:rsidRPr="00874A11">
              <w:rPr>
                <w:rFonts w:ascii="Calibri" w:hAnsi="Calibri" w:cs="Calibri"/>
                <w:color w:val="000000"/>
                <w:sz w:val="22"/>
                <w:szCs w:val="22"/>
              </w:rPr>
              <w:t>5.00</w:t>
            </w:r>
          </w:p>
        </w:tc>
      </w:tr>
      <w:tr w:rsidR="00F427AD" w:rsidRPr="00F427AD" w14:paraId="293171F9" w14:textId="77777777" w:rsidTr="00874A11">
        <w:trPr>
          <w:trHeight w:val="301"/>
        </w:trPr>
        <w:tc>
          <w:tcPr>
            <w:tcW w:w="4505" w:type="dxa"/>
            <w:tcBorders>
              <w:top w:val="nil"/>
              <w:left w:val="single" w:sz="4" w:space="0" w:color="auto"/>
              <w:bottom w:val="single" w:sz="4" w:space="0" w:color="auto"/>
              <w:right w:val="single" w:sz="4" w:space="0" w:color="auto"/>
            </w:tcBorders>
            <w:shd w:val="clear" w:color="000000" w:fill="92D050"/>
            <w:noWrap/>
            <w:vAlign w:val="bottom"/>
            <w:hideMark/>
          </w:tcPr>
          <w:p w14:paraId="1A4197A8" w14:textId="77777777" w:rsidR="000626CC" w:rsidRPr="00874A11" w:rsidRDefault="000626CC" w:rsidP="00154E06">
            <w:pPr>
              <w:keepNext/>
              <w:rPr>
                <w:rFonts w:ascii="Calibri" w:hAnsi="Calibri" w:cs="Calibri"/>
                <w:color w:val="000000"/>
                <w:sz w:val="22"/>
                <w:szCs w:val="22"/>
              </w:rPr>
            </w:pPr>
            <w:r w:rsidRPr="00874A11">
              <w:rPr>
                <w:rFonts w:ascii="Calibri" w:hAnsi="Calibri" w:cs="Calibri"/>
                <w:color w:val="000000"/>
                <w:sz w:val="22"/>
                <w:szCs w:val="22"/>
              </w:rPr>
              <w:t>Additional Geothermal Projects</w:t>
            </w:r>
          </w:p>
        </w:tc>
        <w:tc>
          <w:tcPr>
            <w:tcW w:w="1372" w:type="dxa"/>
            <w:tcBorders>
              <w:top w:val="nil"/>
              <w:left w:val="nil"/>
              <w:bottom w:val="single" w:sz="4" w:space="0" w:color="auto"/>
              <w:right w:val="single" w:sz="4" w:space="0" w:color="auto"/>
            </w:tcBorders>
            <w:shd w:val="clear" w:color="auto" w:fill="auto"/>
            <w:noWrap/>
            <w:vAlign w:val="bottom"/>
            <w:hideMark/>
          </w:tcPr>
          <w:p w14:paraId="6163D1FC" w14:textId="77777777" w:rsidR="000626CC" w:rsidRPr="00874A11" w:rsidRDefault="000626CC" w:rsidP="00154E06">
            <w:pPr>
              <w:keepNext/>
              <w:jc w:val="right"/>
              <w:rPr>
                <w:rFonts w:ascii="Calibri" w:hAnsi="Calibri" w:cs="Calibri"/>
                <w:color w:val="000000"/>
                <w:sz w:val="22"/>
                <w:szCs w:val="22"/>
              </w:rPr>
            </w:pPr>
            <w:r w:rsidRPr="00874A11">
              <w:rPr>
                <w:rFonts w:ascii="Calibri" w:hAnsi="Calibri" w:cs="Calibri"/>
                <w:color w:val="000000"/>
                <w:sz w:val="22"/>
                <w:szCs w:val="22"/>
              </w:rPr>
              <w:t>2035</w:t>
            </w:r>
          </w:p>
        </w:tc>
        <w:tc>
          <w:tcPr>
            <w:tcW w:w="1228" w:type="dxa"/>
            <w:tcBorders>
              <w:top w:val="nil"/>
              <w:left w:val="nil"/>
              <w:bottom w:val="single" w:sz="4" w:space="0" w:color="auto"/>
              <w:right w:val="single" w:sz="4" w:space="0" w:color="auto"/>
            </w:tcBorders>
            <w:shd w:val="clear" w:color="auto" w:fill="auto"/>
            <w:noWrap/>
            <w:vAlign w:val="center"/>
            <w:hideMark/>
          </w:tcPr>
          <w:p w14:paraId="4D7B951A" w14:textId="77777777" w:rsidR="000626CC" w:rsidRPr="00874A11" w:rsidRDefault="000626CC" w:rsidP="00154E06">
            <w:pPr>
              <w:keepNext/>
              <w:jc w:val="center"/>
              <w:rPr>
                <w:rFonts w:ascii="Calibri" w:hAnsi="Calibri" w:cs="Calibri"/>
                <w:color w:val="000000"/>
                <w:sz w:val="22"/>
                <w:szCs w:val="22"/>
              </w:rPr>
            </w:pPr>
            <w:r w:rsidRPr="00874A11">
              <w:rPr>
                <w:rFonts w:ascii="Calibri" w:hAnsi="Calibri" w:cs="Calibri"/>
                <w:color w:val="000000"/>
                <w:sz w:val="22"/>
                <w:szCs w:val="22"/>
              </w:rPr>
              <w:t>N/A</w:t>
            </w:r>
          </w:p>
        </w:tc>
        <w:tc>
          <w:tcPr>
            <w:tcW w:w="1260" w:type="dxa"/>
            <w:tcBorders>
              <w:top w:val="nil"/>
              <w:left w:val="nil"/>
              <w:bottom w:val="single" w:sz="4" w:space="0" w:color="auto"/>
              <w:right w:val="single" w:sz="4" w:space="0" w:color="auto"/>
            </w:tcBorders>
            <w:shd w:val="clear" w:color="auto" w:fill="auto"/>
            <w:noWrap/>
            <w:vAlign w:val="bottom"/>
            <w:hideMark/>
          </w:tcPr>
          <w:p w14:paraId="1913D725" w14:textId="77777777" w:rsidR="000626CC" w:rsidRPr="00874A11" w:rsidRDefault="000626CC" w:rsidP="00154E06">
            <w:pPr>
              <w:keepNext/>
              <w:jc w:val="right"/>
              <w:rPr>
                <w:rFonts w:ascii="Calibri" w:hAnsi="Calibri" w:cs="Calibri"/>
                <w:color w:val="000000"/>
                <w:sz w:val="22"/>
                <w:szCs w:val="22"/>
              </w:rPr>
            </w:pPr>
            <w:r w:rsidRPr="00874A11">
              <w:rPr>
                <w:rFonts w:ascii="Calibri" w:hAnsi="Calibri" w:cs="Calibri"/>
                <w:color w:val="000000"/>
                <w:sz w:val="22"/>
                <w:szCs w:val="22"/>
              </w:rPr>
              <w:t>7.50</w:t>
            </w:r>
          </w:p>
        </w:tc>
      </w:tr>
      <w:tr w:rsidR="00F427AD" w:rsidRPr="00F427AD" w14:paraId="4F08AC88" w14:textId="77777777" w:rsidTr="00874A11">
        <w:trPr>
          <w:trHeight w:val="301"/>
        </w:trPr>
        <w:tc>
          <w:tcPr>
            <w:tcW w:w="4505" w:type="dxa"/>
            <w:tcBorders>
              <w:top w:val="nil"/>
              <w:left w:val="single" w:sz="4" w:space="0" w:color="auto"/>
              <w:bottom w:val="single" w:sz="4" w:space="0" w:color="auto"/>
              <w:right w:val="single" w:sz="4" w:space="0" w:color="auto"/>
            </w:tcBorders>
            <w:shd w:val="clear" w:color="000000" w:fill="92D050"/>
            <w:noWrap/>
            <w:vAlign w:val="bottom"/>
            <w:hideMark/>
          </w:tcPr>
          <w:p w14:paraId="68EE1487" w14:textId="77777777" w:rsidR="000626CC" w:rsidRPr="00874A11" w:rsidRDefault="000626CC" w:rsidP="00154E06">
            <w:pPr>
              <w:keepNext/>
              <w:rPr>
                <w:rFonts w:ascii="Calibri" w:hAnsi="Calibri" w:cs="Calibri"/>
                <w:color w:val="000000"/>
                <w:sz w:val="22"/>
                <w:szCs w:val="22"/>
              </w:rPr>
            </w:pPr>
            <w:r w:rsidRPr="00874A11">
              <w:rPr>
                <w:rFonts w:ascii="Calibri" w:hAnsi="Calibri" w:cs="Calibri"/>
                <w:color w:val="000000"/>
                <w:sz w:val="22"/>
                <w:szCs w:val="22"/>
              </w:rPr>
              <w:t>New Lahontan Hydroelectric</w:t>
            </w:r>
          </w:p>
        </w:tc>
        <w:tc>
          <w:tcPr>
            <w:tcW w:w="1372" w:type="dxa"/>
            <w:tcBorders>
              <w:top w:val="nil"/>
              <w:left w:val="nil"/>
              <w:bottom w:val="single" w:sz="4" w:space="0" w:color="auto"/>
              <w:right w:val="single" w:sz="4" w:space="0" w:color="auto"/>
            </w:tcBorders>
            <w:shd w:val="clear" w:color="auto" w:fill="auto"/>
            <w:noWrap/>
            <w:vAlign w:val="bottom"/>
            <w:hideMark/>
          </w:tcPr>
          <w:p w14:paraId="10966C4B" w14:textId="77777777" w:rsidR="000626CC" w:rsidRPr="00874A11" w:rsidRDefault="000626CC" w:rsidP="00154E06">
            <w:pPr>
              <w:keepNext/>
              <w:jc w:val="right"/>
              <w:rPr>
                <w:rFonts w:ascii="Calibri" w:hAnsi="Calibri" w:cs="Calibri"/>
                <w:color w:val="000000"/>
                <w:sz w:val="22"/>
                <w:szCs w:val="22"/>
              </w:rPr>
            </w:pPr>
            <w:r w:rsidRPr="00874A11">
              <w:rPr>
                <w:rFonts w:ascii="Calibri" w:hAnsi="Calibri" w:cs="Calibri"/>
                <w:color w:val="000000"/>
                <w:sz w:val="22"/>
                <w:szCs w:val="22"/>
              </w:rPr>
              <w:t>2025</w:t>
            </w:r>
          </w:p>
        </w:tc>
        <w:tc>
          <w:tcPr>
            <w:tcW w:w="1228" w:type="dxa"/>
            <w:tcBorders>
              <w:top w:val="nil"/>
              <w:left w:val="nil"/>
              <w:bottom w:val="single" w:sz="4" w:space="0" w:color="auto"/>
              <w:right w:val="single" w:sz="4" w:space="0" w:color="auto"/>
            </w:tcBorders>
            <w:shd w:val="clear" w:color="auto" w:fill="auto"/>
            <w:noWrap/>
            <w:vAlign w:val="center"/>
            <w:hideMark/>
          </w:tcPr>
          <w:p w14:paraId="75C52646" w14:textId="77777777" w:rsidR="000626CC" w:rsidRPr="00874A11" w:rsidRDefault="000626CC" w:rsidP="00154E06">
            <w:pPr>
              <w:keepNext/>
              <w:jc w:val="center"/>
              <w:rPr>
                <w:rFonts w:ascii="Calibri" w:hAnsi="Calibri" w:cs="Calibri"/>
                <w:color w:val="000000"/>
                <w:sz w:val="22"/>
                <w:szCs w:val="22"/>
              </w:rPr>
            </w:pPr>
            <w:r w:rsidRPr="00874A11">
              <w:rPr>
                <w:rFonts w:ascii="Calibri" w:hAnsi="Calibri" w:cs="Calibri"/>
                <w:color w:val="000000"/>
                <w:sz w:val="22"/>
                <w:szCs w:val="22"/>
              </w:rPr>
              <w:t>N/A</w:t>
            </w:r>
          </w:p>
        </w:tc>
        <w:tc>
          <w:tcPr>
            <w:tcW w:w="1260" w:type="dxa"/>
            <w:tcBorders>
              <w:top w:val="nil"/>
              <w:left w:val="nil"/>
              <w:bottom w:val="single" w:sz="4" w:space="0" w:color="auto"/>
              <w:right w:val="single" w:sz="4" w:space="0" w:color="auto"/>
            </w:tcBorders>
            <w:shd w:val="clear" w:color="auto" w:fill="auto"/>
            <w:noWrap/>
            <w:vAlign w:val="bottom"/>
            <w:hideMark/>
          </w:tcPr>
          <w:p w14:paraId="275A5201" w14:textId="77777777" w:rsidR="000626CC" w:rsidRPr="00874A11" w:rsidRDefault="000626CC" w:rsidP="00154E06">
            <w:pPr>
              <w:keepNext/>
              <w:jc w:val="right"/>
              <w:rPr>
                <w:rFonts w:ascii="Calibri" w:hAnsi="Calibri" w:cs="Calibri"/>
                <w:color w:val="000000"/>
                <w:sz w:val="22"/>
                <w:szCs w:val="22"/>
              </w:rPr>
            </w:pPr>
            <w:r w:rsidRPr="00874A11">
              <w:rPr>
                <w:rFonts w:ascii="Calibri" w:hAnsi="Calibri" w:cs="Calibri"/>
                <w:color w:val="000000"/>
                <w:sz w:val="22"/>
                <w:szCs w:val="22"/>
              </w:rPr>
              <w:t>4.00</w:t>
            </w:r>
          </w:p>
        </w:tc>
      </w:tr>
      <w:tr w:rsidR="00F427AD" w:rsidRPr="00F427AD" w14:paraId="2225D832" w14:textId="77777777" w:rsidTr="00874A11">
        <w:trPr>
          <w:trHeight w:val="301"/>
        </w:trPr>
        <w:tc>
          <w:tcPr>
            <w:tcW w:w="4505" w:type="dxa"/>
            <w:tcBorders>
              <w:top w:val="nil"/>
              <w:left w:val="single" w:sz="4" w:space="0" w:color="auto"/>
              <w:bottom w:val="single" w:sz="4" w:space="0" w:color="auto"/>
              <w:right w:val="single" w:sz="4" w:space="0" w:color="auto"/>
            </w:tcBorders>
            <w:shd w:val="clear" w:color="000000" w:fill="92D050"/>
            <w:noWrap/>
            <w:vAlign w:val="bottom"/>
            <w:hideMark/>
          </w:tcPr>
          <w:p w14:paraId="1ACFB1C7" w14:textId="77777777" w:rsidR="000626CC" w:rsidRPr="00874A11" w:rsidRDefault="000626CC" w:rsidP="00154E06">
            <w:pPr>
              <w:keepNext/>
              <w:rPr>
                <w:rFonts w:ascii="Calibri" w:hAnsi="Calibri" w:cs="Calibri"/>
                <w:color w:val="000000"/>
                <w:sz w:val="22"/>
                <w:szCs w:val="22"/>
              </w:rPr>
            </w:pPr>
            <w:r w:rsidRPr="00874A11">
              <w:rPr>
                <w:rFonts w:ascii="Calibri" w:hAnsi="Calibri" w:cs="Calibri"/>
                <w:color w:val="000000"/>
                <w:sz w:val="22"/>
                <w:szCs w:val="22"/>
              </w:rPr>
              <w:t>Community Solar</w:t>
            </w:r>
          </w:p>
        </w:tc>
        <w:tc>
          <w:tcPr>
            <w:tcW w:w="1372" w:type="dxa"/>
            <w:tcBorders>
              <w:top w:val="nil"/>
              <w:left w:val="nil"/>
              <w:bottom w:val="single" w:sz="4" w:space="0" w:color="auto"/>
              <w:right w:val="single" w:sz="4" w:space="0" w:color="auto"/>
            </w:tcBorders>
            <w:shd w:val="clear" w:color="auto" w:fill="auto"/>
            <w:noWrap/>
            <w:vAlign w:val="bottom"/>
            <w:hideMark/>
          </w:tcPr>
          <w:p w14:paraId="2CE3E700" w14:textId="77777777" w:rsidR="000626CC" w:rsidRPr="00874A11" w:rsidRDefault="000626CC" w:rsidP="00154E06">
            <w:pPr>
              <w:keepNext/>
              <w:jc w:val="right"/>
              <w:rPr>
                <w:rFonts w:ascii="Calibri" w:hAnsi="Calibri" w:cs="Calibri"/>
                <w:color w:val="000000"/>
                <w:sz w:val="22"/>
                <w:szCs w:val="22"/>
              </w:rPr>
            </w:pPr>
            <w:r w:rsidRPr="00874A11">
              <w:rPr>
                <w:rFonts w:ascii="Calibri" w:hAnsi="Calibri" w:cs="Calibri"/>
                <w:color w:val="000000"/>
                <w:sz w:val="22"/>
                <w:szCs w:val="22"/>
              </w:rPr>
              <w:t>2027</w:t>
            </w:r>
          </w:p>
        </w:tc>
        <w:tc>
          <w:tcPr>
            <w:tcW w:w="1228" w:type="dxa"/>
            <w:tcBorders>
              <w:top w:val="nil"/>
              <w:left w:val="nil"/>
              <w:bottom w:val="single" w:sz="4" w:space="0" w:color="auto"/>
              <w:right w:val="single" w:sz="4" w:space="0" w:color="auto"/>
            </w:tcBorders>
            <w:shd w:val="clear" w:color="auto" w:fill="auto"/>
            <w:noWrap/>
            <w:vAlign w:val="center"/>
            <w:hideMark/>
          </w:tcPr>
          <w:p w14:paraId="3E21BE52" w14:textId="77777777" w:rsidR="000626CC" w:rsidRPr="00874A11" w:rsidRDefault="000626CC" w:rsidP="00154E06">
            <w:pPr>
              <w:keepNext/>
              <w:jc w:val="center"/>
              <w:rPr>
                <w:rFonts w:ascii="Calibri" w:hAnsi="Calibri" w:cs="Calibri"/>
                <w:color w:val="000000"/>
                <w:sz w:val="22"/>
                <w:szCs w:val="22"/>
              </w:rPr>
            </w:pPr>
            <w:r w:rsidRPr="00874A11">
              <w:rPr>
                <w:rFonts w:ascii="Calibri" w:hAnsi="Calibri" w:cs="Calibri"/>
                <w:color w:val="000000"/>
                <w:sz w:val="22"/>
                <w:szCs w:val="22"/>
              </w:rPr>
              <w:t>N/A</w:t>
            </w:r>
          </w:p>
        </w:tc>
        <w:tc>
          <w:tcPr>
            <w:tcW w:w="1260" w:type="dxa"/>
            <w:tcBorders>
              <w:top w:val="nil"/>
              <w:left w:val="nil"/>
              <w:bottom w:val="single" w:sz="4" w:space="0" w:color="auto"/>
              <w:right w:val="single" w:sz="4" w:space="0" w:color="auto"/>
            </w:tcBorders>
            <w:shd w:val="clear" w:color="auto" w:fill="auto"/>
            <w:noWrap/>
            <w:vAlign w:val="bottom"/>
            <w:hideMark/>
          </w:tcPr>
          <w:p w14:paraId="2F8F2908" w14:textId="77777777" w:rsidR="000626CC" w:rsidRPr="00874A11" w:rsidRDefault="000626CC" w:rsidP="00154E06">
            <w:pPr>
              <w:keepNext/>
              <w:jc w:val="right"/>
              <w:rPr>
                <w:rFonts w:ascii="Calibri" w:hAnsi="Calibri" w:cs="Calibri"/>
                <w:color w:val="000000"/>
                <w:sz w:val="22"/>
                <w:szCs w:val="22"/>
              </w:rPr>
            </w:pPr>
            <w:r w:rsidRPr="00874A11">
              <w:rPr>
                <w:rFonts w:ascii="Calibri" w:hAnsi="Calibri" w:cs="Calibri"/>
                <w:color w:val="000000"/>
                <w:sz w:val="22"/>
                <w:szCs w:val="22"/>
              </w:rPr>
              <w:t>2.00</w:t>
            </w:r>
          </w:p>
        </w:tc>
      </w:tr>
      <w:tr w:rsidR="00F427AD" w:rsidRPr="00F427AD" w14:paraId="369FE7E2" w14:textId="77777777" w:rsidTr="00874A11">
        <w:trPr>
          <w:trHeight w:val="301"/>
        </w:trPr>
        <w:tc>
          <w:tcPr>
            <w:tcW w:w="4505" w:type="dxa"/>
            <w:tcBorders>
              <w:top w:val="nil"/>
              <w:left w:val="single" w:sz="4" w:space="0" w:color="auto"/>
              <w:bottom w:val="single" w:sz="4" w:space="0" w:color="auto"/>
              <w:right w:val="single" w:sz="4" w:space="0" w:color="auto"/>
            </w:tcBorders>
            <w:shd w:val="clear" w:color="000000" w:fill="DBDBDB"/>
            <w:noWrap/>
            <w:vAlign w:val="bottom"/>
            <w:hideMark/>
          </w:tcPr>
          <w:p w14:paraId="20E3CA29" w14:textId="7EE2EA30" w:rsidR="000626CC" w:rsidRPr="00874A11" w:rsidRDefault="004C0B6C" w:rsidP="00154E06">
            <w:pPr>
              <w:keepNext/>
              <w:rPr>
                <w:rFonts w:ascii="Calibri" w:hAnsi="Calibri" w:cs="Calibri"/>
                <w:color w:val="000000"/>
                <w:sz w:val="22"/>
                <w:szCs w:val="22"/>
              </w:rPr>
            </w:pPr>
            <w:r>
              <w:rPr>
                <w:rFonts w:ascii="Calibri" w:hAnsi="Calibri" w:cs="Calibri"/>
                <w:color w:val="000000"/>
                <w:sz w:val="22"/>
                <w:szCs w:val="22"/>
              </w:rPr>
              <w:t>4-Hour</w:t>
            </w:r>
            <w:r w:rsidR="000626CC" w:rsidRPr="00874A11">
              <w:rPr>
                <w:rFonts w:ascii="Calibri" w:hAnsi="Calibri" w:cs="Calibri"/>
                <w:color w:val="000000"/>
                <w:sz w:val="22"/>
                <w:szCs w:val="22"/>
              </w:rPr>
              <w:t xml:space="preserve"> TDPUD Storage</w:t>
            </w:r>
          </w:p>
        </w:tc>
        <w:tc>
          <w:tcPr>
            <w:tcW w:w="1372" w:type="dxa"/>
            <w:tcBorders>
              <w:top w:val="nil"/>
              <w:left w:val="nil"/>
              <w:bottom w:val="single" w:sz="4" w:space="0" w:color="auto"/>
              <w:right w:val="single" w:sz="4" w:space="0" w:color="auto"/>
            </w:tcBorders>
            <w:shd w:val="clear" w:color="auto" w:fill="auto"/>
            <w:noWrap/>
            <w:vAlign w:val="bottom"/>
            <w:hideMark/>
          </w:tcPr>
          <w:p w14:paraId="5DCF521F" w14:textId="77777777" w:rsidR="000626CC" w:rsidRPr="00874A11" w:rsidRDefault="000626CC" w:rsidP="00154E06">
            <w:pPr>
              <w:keepNext/>
              <w:jc w:val="right"/>
              <w:rPr>
                <w:rFonts w:ascii="Calibri" w:hAnsi="Calibri" w:cs="Calibri"/>
                <w:color w:val="000000"/>
                <w:sz w:val="22"/>
                <w:szCs w:val="22"/>
              </w:rPr>
            </w:pPr>
            <w:r w:rsidRPr="00874A11">
              <w:rPr>
                <w:rFonts w:ascii="Calibri" w:hAnsi="Calibri" w:cs="Calibri"/>
                <w:color w:val="000000"/>
                <w:sz w:val="22"/>
                <w:szCs w:val="22"/>
              </w:rPr>
              <w:t>2026</w:t>
            </w:r>
          </w:p>
        </w:tc>
        <w:tc>
          <w:tcPr>
            <w:tcW w:w="1228" w:type="dxa"/>
            <w:tcBorders>
              <w:top w:val="nil"/>
              <w:left w:val="nil"/>
              <w:bottom w:val="single" w:sz="4" w:space="0" w:color="auto"/>
              <w:right w:val="single" w:sz="4" w:space="0" w:color="auto"/>
            </w:tcBorders>
            <w:shd w:val="clear" w:color="auto" w:fill="auto"/>
            <w:noWrap/>
            <w:vAlign w:val="center"/>
            <w:hideMark/>
          </w:tcPr>
          <w:p w14:paraId="758E572F" w14:textId="77777777" w:rsidR="000626CC" w:rsidRPr="00874A11" w:rsidRDefault="000626CC" w:rsidP="00154E06">
            <w:pPr>
              <w:keepNext/>
              <w:jc w:val="center"/>
              <w:rPr>
                <w:rFonts w:ascii="Calibri" w:hAnsi="Calibri" w:cs="Calibri"/>
                <w:color w:val="000000"/>
                <w:sz w:val="22"/>
                <w:szCs w:val="22"/>
              </w:rPr>
            </w:pPr>
            <w:r w:rsidRPr="00874A11">
              <w:rPr>
                <w:rFonts w:ascii="Calibri" w:hAnsi="Calibri" w:cs="Calibri"/>
                <w:color w:val="000000"/>
                <w:sz w:val="22"/>
                <w:szCs w:val="22"/>
              </w:rPr>
              <w:t>N/A</w:t>
            </w:r>
          </w:p>
        </w:tc>
        <w:tc>
          <w:tcPr>
            <w:tcW w:w="1260" w:type="dxa"/>
            <w:tcBorders>
              <w:top w:val="nil"/>
              <w:left w:val="nil"/>
              <w:bottom w:val="single" w:sz="4" w:space="0" w:color="auto"/>
              <w:right w:val="single" w:sz="4" w:space="0" w:color="auto"/>
            </w:tcBorders>
            <w:shd w:val="clear" w:color="auto" w:fill="auto"/>
            <w:noWrap/>
            <w:vAlign w:val="bottom"/>
            <w:hideMark/>
          </w:tcPr>
          <w:p w14:paraId="70B3A3CD" w14:textId="77777777" w:rsidR="000626CC" w:rsidRPr="00874A11" w:rsidRDefault="000626CC" w:rsidP="00154E06">
            <w:pPr>
              <w:keepNext/>
              <w:jc w:val="right"/>
              <w:rPr>
                <w:rFonts w:ascii="Calibri" w:hAnsi="Calibri" w:cs="Calibri"/>
                <w:color w:val="000000"/>
                <w:sz w:val="22"/>
                <w:szCs w:val="22"/>
              </w:rPr>
            </w:pPr>
            <w:r w:rsidRPr="00874A11">
              <w:rPr>
                <w:rFonts w:ascii="Calibri" w:hAnsi="Calibri" w:cs="Calibri"/>
                <w:color w:val="000000"/>
                <w:sz w:val="22"/>
                <w:szCs w:val="22"/>
              </w:rPr>
              <w:t>1.00</w:t>
            </w:r>
          </w:p>
        </w:tc>
      </w:tr>
      <w:tr w:rsidR="00F427AD" w:rsidRPr="00F427AD" w14:paraId="551B8D43" w14:textId="77777777" w:rsidTr="00874A11">
        <w:trPr>
          <w:trHeight w:val="301"/>
        </w:trPr>
        <w:tc>
          <w:tcPr>
            <w:tcW w:w="4505" w:type="dxa"/>
            <w:tcBorders>
              <w:top w:val="nil"/>
              <w:left w:val="single" w:sz="4" w:space="0" w:color="auto"/>
              <w:bottom w:val="single" w:sz="4" w:space="0" w:color="auto"/>
              <w:right w:val="single" w:sz="4" w:space="0" w:color="auto"/>
            </w:tcBorders>
            <w:shd w:val="clear" w:color="000000" w:fill="C00000"/>
            <w:noWrap/>
            <w:vAlign w:val="bottom"/>
            <w:hideMark/>
          </w:tcPr>
          <w:p w14:paraId="2F8F9F0C" w14:textId="77777777" w:rsidR="000626CC" w:rsidRPr="00874A11" w:rsidRDefault="000626CC">
            <w:pPr>
              <w:rPr>
                <w:rFonts w:ascii="Calibri" w:hAnsi="Calibri" w:cs="Calibri"/>
                <w:color w:val="FFFFFF"/>
                <w:sz w:val="22"/>
                <w:szCs w:val="22"/>
              </w:rPr>
            </w:pPr>
            <w:r w:rsidRPr="00874A11">
              <w:rPr>
                <w:rFonts w:ascii="Calibri" w:hAnsi="Calibri" w:cs="Calibri"/>
                <w:color w:val="FFFFFF"/>
                <w:sz w:val="22"/>
                <w:szCs w:val="22"/>
              </w:rPr>
              <w:t xml:space="preserve">New 5-Year Market Purchase </w:t>
            </w:r>
          </w:p>
        </w:tc>
        <w:tc>
          <w:tcPr>
            <w:tcW w:w="1372" w:type="dxa"/>
            <w:tcBorders>
              <w:top w:val="nil"/>
              <w:left w:val="nil"/>
              <w:bottom w:val="single" w:sz="4" w:space="0" w:color="auto"/>
              <w:right w:val="single" w:sz="4" w:space="0" w:color="auto"/>
            </w:tcBorders>
            <w:shd w:val="clear" w:color="auto" w:fill="auto"/>
            <w:noWrap/>
            <w:vAlign w:val="bottom"/>
            <w:hideMark/>
          </w:tcPr>
          <w:p w14:paraId="33D54FF3" w14:textId="77777777" w:rsidR="000626CC" w:rsidRPr="00874A11" w:rsidRDefault="000626CC">
            <w:pPr>
              <w:jc w:val="right"/>
              <w:rPr>
                <w:rFonts w:ascii="Calibri" w:hAnsi="Calibri" w:cs="Calibri"/>
                <w:color w:val="000000"/>
                <w:sz w:val="22"/>
                <w:szCs w:val="22"/>
              </w:rPr>
            </w:pPr>
            <w:r w:rsidRPr="00874A11">
              <w:rPr>
                <w:rFonts w:ascii="Calibri" w:hAnsi="Calibri" w:cs="Calibri"/>
                <w:color w:val="000000"/>
                <w:sz w:val="22"/>
                <w:szCs w:val="22"/>
              </w:rPr>
              <w:t>2027</w:t>
            </w:r>
          </w:p>
        </w:tc>
        <w:tc>
          <w:tcPr>
            <w:tcW w:w="1228" w:type="dxa"/>
            <w:tcBorders>
              <w:top w:val="nil"/>
              <w:left w:val="nil"/>
              <w:bottom w:val="single" w:sz="4" w:space="0" w:color="auto"/>
              <w:right w:val="single" w:sz="4" w:space="0" w:color="auto"/>
            </w:tcBorders>
            <w:shd w:val="clear" w:color="auto" w:fill="auto"/>
            <w:noWrap/>
            <w:vAlign w:val="center"/>
            <w:hideMark/>
          </w:tcPr>
          <w:p w14:paraId="1968E6C9" w14:textId="77777777" w:rsidR="000626CC" w:rsidRPr="00874A11" w:rsidRDefault="000626CC">
            <w:pPr>
              <w:jc w:val="center"/>
              <w:rPr>
                <w:rFonts w:ascii="Calibri" w:hAnsi="Calibri" w:cs="Calibri"/>
                <w:color w:val="000000"/>
                <w:sz w:val="22"/>
                <w:szCs w:val="22"/>
              </w:rPr>
            </w:pPr>
            <w:r w:rsidRPr="00874A11">
              <w:rPr>
                <w:rFonts w:ascii="Calibri" w:hAnsi="Calibri" w:cs="Calibri"/>
                <w:color w:val="000000"/>
                <w:sz w:val="22"/>
                <w:szCs w:val="22"/>
              </w:rPr>
              <w:t>N/A</w:t>
            </w:r>
          </w:p>
        </w:tc>
        <w:tc>
          <w:tcPr>
            <w:tcW w:w="1260" w:type="dxa"/>
            <w:tcBorders>
              <w:top w:val="nil"/>
              <w:left w:val="nil"/>
              <w:bottom w:val="single" w:sz="4" w:space="0" w:color="auto"/>
              <w:right w:val="single" w:sz="4" w:space="0" w:color="auto"/>
            </w:tcBorders>
            <w:shd w:val="clear" w:color="auto" w:fill="auto"/>
            <w:noWrap/>
            <w:vAlign w:val="bottom"/>
            <w:hideMark/>
          </w:tcPr>
          <w:p w14:paraId="686A67C3" w14:textId="77777777" w:rsidR="000626CC" w:rsidRPr="00874A11" w:rsidRDefault="000626CC">
            <w:pPr>
              <w:jc w:val="right"/>
              <w:rPr>
                <w:rFonts w:ascii="Calibri" w:hAnsi="Calibri" w:cs="Calibri"/>
                <w:color w:val="000000"/>
                <w:sz w:val="22"/>
                <w:szCs w:val="22"/>
              </w:rPr>
            </w:pPr>
            <w:r w:rsidRPr="00874A11">
              <w:rPr>
                <w:rFonts w:ascii="Calibri" w:hAnsi="Calibri" w:cs="Calibri"/>
                <w:color w:val="000000"/>
                <w:sz w:val="22"/>
                <w:szCs w:val="22"/>
              </w:rPr>
              <w:t>4.00</w:t>
            </w:r>
          </w:p>
        </w:tc>
      </w:tr>
    </w:tbl>
    <w:p w14:paraId="34F4E057" w14:textId="717E72F6" w:rsidR="001969EF" w:rsidRPr="00874A11" w:rsidRDefault="000626CC" w:rsidP="00874A11">
      <w:pPr>
        <w:rPr>
          <w:sz w:val="20"/>
          <w:szCs w:val="20"/>
        </w:rPr>
      </w:pPr>
      <w:r w:rsidRPr="00874A11">
        <w:rPr>
          <w:sz w:val="20"/>
          <w:szCs w:val="20"/>
        </w:rPr>
        <w:t>*Except for Trans-Jordan Landfill Gas and the existing 5-Year Market Purchase, no other resource is assumed to expire during the planning period.</w:t>
      </w:r>
    </w:p>
    <w:p w14:paraId="7D0823C9" w14:textId="77777777" w:rsidR="001969EF" w:rsidRDefault="001969EF" w:rsidP="001969EF"/>
    <w:p w14:paraId="1175CC55" w14:textId="7A36A855" w:rsidR="00FC3F4C" w:rsidRDefault="00FC3F4C" w:rsidP="00A25320">
      <w:pPr>
        <w:spacing w:after="120"/>
      </w:pPr>
      <w:proofErr w:type="gramStart"/>
      <w:r>
        <w:t>In order to</w:t>
      </w:r>
      <w:proofErr w:type="gramEnd"/>
      <w:r>
        <w:t xml:space="preserve"> determine the resource portfolios, we applied the following screens.</w:t>
      </w:r>
    </w:p>
    <w:p w14:paraId="458E033A" w14:textId="371937B5" w:rsidR="00FC3F4C" w:rsidRPr="00E31E0D" w:rsidRDefault="00FC3F4C" w:rsidP="00FC3F4C">
      <w:pPr>
        <w:pStyle w:val="ListParagraph"/>
        <w:numPr>
          <w:ilvl w:val="0"/>
          <w:numId w:val="14"/>
        </w:numPr>
        <w:rPr>
          <w:sz w:val="24"/>
        </w:rPr>
      </w:pPr>
      <w:r w:rsidRPr="00E31E0D">
        <w:rPr>
          <w:sz w:val="24"/>
        </w:rPr>
        <w:t>Is it reliable in terms of maintaining planning reserve margin, given preconditions for market participation and transmission provider requirements?</w:t>
      </w:r>
    </w:p>
    <w:p w14:paraId="5547A40D" w14:textId="60E76FA8" w:rsidR="00FC3F4C" w:rsidRPr="00E31E0D" w:rsidRDefault="00FC3F4C" w:rsidP="00FC3F4C">
      <w:pPr>
        <w:pStyle w:val="ListParagraph"/>
        <w:numPr>
          <w:ilvl w:val="0"/>
          <w:numId w:val="14"/>
        </w:numPr>
        <w:rPr>
          <w:sz w:val="24"/>
        </w:rPr>
      </w:pPr>
      <w:r w:rsidRPr="00E31E0D">
        <w:rPr>
          <w:sz w:val="24"/>
        </w:rPr>
        <w:t>Does it minimize the overall cost of procurement, and manage market volatility, enabling the District to offer competitive rates?</w:t>
      </w:r>
    </w:p>
    <w:p w14:paraId="56944C31" w14:textId="1628393A" w:rsidR="00FC3F4C" w:rsidRPr="00E31E0D" w:rsidRDefault="00FC3F4C" w:rsidP="00FC3F4C">
      <w:pPr>
        <w:pStyle w:val="ListParagraph"/>
        <w:numPr>
          <w:ilvl w:val="0"/>
          <w:numId w:val="14"/>
        </w:numPr>
        <w:rPr>
          <w:sz w:val="24"/>
        </w:rPr>
      </w:pPr>
      <w:r w:rsidRPr="00E31E0D">
        <w:rPr>
          <w:sz w:val="24"/>
        </w:rPr>
        <w:t>Does it comply with the State’s environmental goals and policies?</w:t>
      </w:r>
    </w:p>
    <w:p w14:paraId="1C2194AF" w14:textId="710AD52E" w:rsidR="00FC3F4C" w:rsidRPr="00E31E0D" w:rsidRDefault="00FC3F4C" w:rsidP="00FC3F4C">
      <w:pPr>
        <w:pStyle w:val="ListParagraph"/>
        <w:numPr>
          <w:ilvl w:val="0"/>
          <w:numId w:val="14"/>
        </w:numPr>
        <w:rPr>
          <w:sz w:val="24"/>
        </w:rPr>
      </w:pPr>
      <w:r w:rsidRPr="00E31E0D">
        <w:rPr>
          <w:sz w:val="24"/>
        </w:rPr>
        <w:t xml:space="preserve">Does it comply with the </w:t>
      </w:r>
      <w:r w:rsidR="004C0B6C" w:rsidRPr="00E31E0D">
        <w:rPr>
          <w:sz w:val="24"/>
        </w:rPr>
        <w:t>District's</w:t>
      </w:r>
      <w:r w:rsidRPr="00E31E0D">
        <w:rPr>
          <w:sz w:val="24"/>
        </w:rPr>
        <w:t xml:space="preserve"> goals?</w:t>
      </w:r>
    </w:p>
    <w:p w14:paraId="0C3B8ED0" w14:textId="34FF5BA1" w:rsidR="00FC3F4C" w:rsidRPr="00E31E0D" w:rsidRDefault="00FC3F4C" w:rsidP="00FC3F4C">
      <w:pPr>
        <w:pStyle w:val="ListParagraph"/>
        <w:numPr>
          <w:ilvl w:val="0"/>
          <w:numId w:val="14"/>
        </w:numPr>
        <w:rPr>
          <w:sz w:val="24"/>
        </w:rPr>
      </w:pPr>
      <w:r w:rsidRPr="00E31E0D">
        <w:rPr>
          <w:sz w:val="24"/>
        </w:rPr>
        <w:t>Does it include resource diversity?</w:t>
      </w:r>
    </w:p>
    <w:p w14:paraId="00C51CEA" w14:textId="5FB31144" w:rsidR="00FC3F4C" w:rsidRPr="00E31E0D" w:rsidRDefault="001179B1" w:rsidP="00FC3F4C">
      <w:pPr>
        <w:pStyle w:val="ListParagraph"/>
        <w:numPr>
          <w:ilvl w:val="0"/>
          <w:numId w:val="14"/>
        </w:numPr>
        <w:rPr>
          <w:sz w:val="24"/>
        </w:rPr>
      </w:pPr>
      <w:r w:rsidRPr="00E31E0D">
        <w:rPr>
          <w:sz w:val="24"/>
        </w:rPr>
        <w:t>Does</w:t>
      </w:r>
      <w:r w:rsidR="00FC3F4C" w:rsidRPr="00E31E0D">
        <w:rPr>
          <w:sz w:val="24"/>
        </w:rPr>
        <w:t xml:space="preserve"> the portfolio </w:t>
      </w:r>
      <w:r w:rsidRPr="00E31E0D">
        <w:rPr>
          <w:sz w:val="24"/>
        </w:rPr>
        <w:t xml:space="preserve">adequately </w:t>
      </w:r>
      <w:r w:rsidR="00FC3F4C" w:rsidRPr="00E31E0D">
        <w:rPr>
          <w:sz w:val="24"/>
        </w:rPr>
        <w:t>balancing resources against loads</w:t>
      </w:r>
      <w:r w:rsidRPr="00E31E0D">
        <w:rPr>
          <w:sz w:val="24"/>
        </w:rPr>
        <w:t xml:space="preserve"> on an hourly basis.</w:t>
      </w:r>
    </w:p>
    <w:p w14:paraId="39B60025" w14:textId="24F2E8B1" w:rsidR="00FC3F4C" w:rsidRPr="00E31E0D" w:rsidRDefault="00FC3F4C" w:rsidP="00874A11">
      <w:pPr>
        <w:pStyle w:val="ListParagraph"/>
        <w:numPr>
          <w:ilvl w:val="0"/>
          <w:numId w:val="14"/>
        </w:numPr>
        <w:rPr>
          <w:sz w:val="24"/>
        </w:rPr>
      </w:pPr>
      <w:r w:rsidRPr="00E31E0D">
        <w:rPr>
          <w:sz w:val="24"/>
        </w:rPr>
        <w:t>How does it perform under a range of sensitivities?</w:t>
      </w:r>
    </w:p>
    <w:p w14:paraId="64251C43" w14:textId="77F2FA2D" w:rsidR="00FC3F4C" w:rsidRDefault="00FC3F4C" w:rsidP="001969EF">
      <w:r>
        <w:lastRenderedPageBreak/>
        <w:t xml:space="preserve">We also considered the tradeoff between the remote utility-scale generation and </w:t>
      </w:r>
      <w:r w:rsidR="003367E3">
        <w:t>within-district</w:t>
      </w:r>
      <w:r>
        <w:t xml:space="preserve"> resource development, such as Community Solar and TDPUD 4-hour storage. </w:t>
      </w:r>
      <w:r w:rsidR="00A25320">
        <w:t xml:space="preserve"> </w:t>
      </w:r>
      <w:r>
        <w:t xml:space="preserve">In Table 6, we provide </w:t>
      </w:r>
      <w:r w:rsidR="00755986">
        <w:t xml:space="preserve">the </w:t>
      </w:r>
      <w:r>
        <w:t xml:space="preserve">pros and cons of </w:t>
      </w:r>
      <w:r w:rsidR="004C0B6C">
        <w:t>local</w:t>
      </w:r>
      <w:r>
        <w:t xml:space="preserve"> or behind-the-meter generation.</w:t>
      </w:r>
    </w:p>
    <w:p w14:paraId="6FDD257C" w14:textId="77777777" w:rsidR="00FC3F4C" w:rsidRDefault="00FC3F4C" w:rsidP="001969EF"/>
    <w:p w14:paraId="57BDACB9" w14:textId="750EFDE3" w:rsidR="00FC3F4C" w:rsidRPr="00874A11" w:rsidRDefault="00FC3F4C" w:rsidP="00154E06">
      <w:pPr>
        <w:spacing w:after="120"/>
        <w:jc w:val="center"/>
        <w:rPr>
          <w:b/>
          <w:bCs/>
        </w:rPr>
      </w:pPr>
      <w:r w:rsidRPr="00874A11">
        <w:rPr>
          <w:b/>
          <w:bCs/>
        </w:rPr>
        <w:t xml:space="preserve">Table 6: Pros and Cons </w:t>
      </w:r>
      <w:r w:rsidR="004C0B6C">
        <w:rPr>
          <w:b/>
          <w:bCs/>
        </w:rPr>
        <w:t>of Local</w:t>
      </w:r>
      <w:r w:rsidRPr="00874A11">
        <w:rPr>
          <w:b/>
          <w:bCs/>
        </w:rPr>
        <w:t xml:space="preserve"> or Behind-the-Meter </w:t>
      </w:r>
      <w:r w:rsidR="001179B1">
        <w:rPr>
          <w:b/>
          <w:bCs/>
        </w:rPr>
        <w:t xml:space="preserve">(BTM) </w:t>
      </w:r>
      <w:r w:rsidRPr="00874A11">
        <w:rPr>
          <w:b/>
          <w:bCs/>
        </w:rPr>
        <w:t>Generation</w:t>
      </w:r>
    </w:p>
    <w:tbl>
      <w:tblPr>
        <w:tblStyle w:val="TableGrid"/>
        <w:tblW w:w="0" w:type="auto"/>
        <w:tblLook w:val="04A0" w:firstRow="1" w:lastRow="0" w:firstColumn="1" w:lastColumn="0" w:noHBand="0" w:noVBand="1"/>
      </w:tblPr>
      <w:tblGrid>
        <w:gridCol w:w="4675"/>
        <w:gridCol w:w="4675"/>
      </w:tblGrid>
      <w:tr w:rsidR="00FC3F4C" w14:paraId="0BA5C884" w14:textId="77777777" w:rsidTr="00FC3F4C">
        <w:tc>
          <w:tcPr>
            <w:tcW w:w="4675" w:type="dxa"/>
          </w:tcPr>
          <w:p w14:paraId="5A897FEE" w14:textId="05A3B1E2" w:rsidR="00FC3F4C" w:rsidRPr="00874A11" w:rsidRDefault="00FC3F4C" w:rsidP="00874A11">
            <w:pPr>
              <w:jc w:val="center"/>
              <w:rPr>
                <w:b/>
                <w:bCs/>
              </w:rPr>
            </w:pPr>
            <w:r w:rsidRPr="00874A11">
              <w:rPr>
                <w:b/>
                <w:bCs/>
              </w:rPr>
              <w:t>Pros</w:t>
            </w:r>
          </w:p>
        </w:tc>
        <w:tc>
          <w:tcPr>
            <w:tcW w:w="4675" w:type="dxa"/>
          </w:tcPr>
          <w:p w14:paraId="67FDB8C2" w14:textId="00DC5CE1" w:rsidR="00FC3F4C" w:rsidRPr="00874A11" w:rsidRDefault="00FC3F4C" w:rsidP="00874A11">
            <w:pPr>
              <w:jc w:val="center"/>
              <w:rPr>
                <w:b/>
                <w:bCs/>
              </w:rPr>
            </w:pPr>
            <w:r w:rsidRPr="00874A11">
              <w:rPr>
                <w:b/>
                <w:bCs/>
              </w:rPr>
              <w:t>Cons</w:t>
            </w:r>
          </w:p>
        </w:tc>
      </w:tr>
      <w:tr w:rsidR="00FC3F4C" w14:paraId="653DE49C" w14:textId="77777777" w:rsidTr="00914D8E">
        <w:trPr>
          <w:trHeight w:val="890"/>
        </w:trPr>
        <w:tc>
          <w:tcPr>
            <w:tcW w:w="4675" w:type="dxa"/>
          </w:tcPr>
          <w:p w14:paraId="720A21DA" w14:textId="6663672C" w:rsidR="00FC3F4C" w:rsidRDefault="001179B1" w:rsidP="001969EF">
            <w:r>
              <w:t>BTM solar a</w:t>
            </w:r>
            <w:r w:rsidR="00FC3F4C">
              <w:t>voids NVE transmission charge</w:t>
            </w:r>
            <w:r w:rsidR="00A427C4">
              <w:t xml:space="preserve">, thereby </w:t>
            </w:r>
            <w:bookmarkStart w:id="28" w:name="OLE_LINK1"/>
            <w:r w:rsidR="00A427C4">
              <w:t>reducing the overall cost of procurement</w:t>
            </w:r>
            <w:bookmarkEnd w:id="28"/>
          </w:p>
        </w:tc>
        <w:tc>
          <w:tcPr>
            <w:tcW w:w="4675" w:type="dxa"/>
          </w:tcPr>
          <w:p w14:paraId="09C1A75A" w14:textId="7663C1F0" w:rsidR="00FC3F4C" w:rsidRDefault="001179B1" w:rsidP="001969EF">
            <w:r>
              <w:t>BTM resources are m</w:t>
            </w:r>
            <w:r w:rsidR="00FC3F4C">
              <w:t>ore expensive (higher PPA price) than utility-scale generation</w:t>
            </w:r>
            <w:r w:rsidR="00A427C4">
              <w:t xml:space="preserve"> </w:t>
            </w:r>
          </w:p>
        </w:tc>
      </w:tr>
      <w:tr w:rsidR="00914D8E" w14:paraId="78705D01" w14:textId="77777777" w:rsidTr="00FC3F4C">
        <w:tc>
          <w:tcPr>
            <w:tcW w:w="4675" w:type="dxa"/>
          </w:tcPr>
          <w:p w14:paraId="1278285D" w14:textId="0C88F306" w:rsidR="00914D8E" w:rsidRDefault="00914D8E" w:rsidP="001969EF">
            <w:r>
              <w:t>BTM storage reduces the peak net load, thereby reducing RA needs and costs</w:t>
            </w:r>
          </w:p>
        </w:tc>
        <w:tc>
          <w:tcPr>
            <w:tcW w:w="4675" w:type="dxa"/>
            <w:vMerge w:val="restart"/>
          </w:tcPr>
          <w:p w14:paraId="26B13CA5" w14:textId="5ED9B180" w:rsidR="00914D8E" w:rsidRDefault="00914D8E" w:rsidP="001969EF">
            <w:r>
              <w:t>Large-scale buildout may not be feasible given the land and climate constraints in Truckee</w:t>
            </w:r>
          </w:p>
        </w:tc>
      </w:tr>
      <w:tr w:rsidR="00914D8E" w14:paraId="5306A2E0" w14:textId="77777777" w:rsidTr="00FC3F4C">
        <w:tc>
          <w:tcPr>
            <w:tcW w:w="4675" w:type="dxa"/>
          </w:tcPr>
          <w:p w14:paraId="09ACF21E" w14:textId="7CDFE273" w:rsidR="00914D8E" w:rsidRDefault="00914D8E" w:rsidP="00FC3F4C">
            <w:r>
              <w:t>STM solar reduces the net load, thereby reducing the RPS requirement, and associated cost</w:t>
            </w:r>
          </w:p>
        </w:tc>
        <w:tc>
          <w:tcPr>
            <w:tcW w:w="4675" w:type="dxa"/>
            <w:vMerge/>
          </w:tcPr>
          <w:p w14:paraId="4AD11B06" w14:textId="77777777" w:rsidR="00914D8E" w:rsidRDefault="00914D8E" w:rsidP="00FC3F4C"/>
        </w:tc>
      </w:tr>
      <w:tr w:rsidR="00914D8E" w14:paraId="1C27F46F" w14:textId="77777777" w:rsidTr="00FC3F4C">
        <w:tc>
          <w:tcPr>
            <w:tcW w:w="4675" w:type="dxa"/>
          </w:tcPr>
          <w:p w14:paraId="40A34238" w14:textId="6669E64E" w:rsidR="00914D8E" w:rsidRDefault="00914D8E" w:rsidP="00FC3F4C">
            <w:r>
              <w:t>BTM resources provide local control</w:t>
            </w:r>
          </w:p>
        </w:tc>
        <w:tc>
          <w:tcPr>
            <w:tcW w:w="4675" w:type="dxa"/>
            <w:vMerge/>
          </w:tcPr>
          <w:p w14:paraId="523025D3" w14:textId="77777777" w:rsidR="00914D8E" w:rsidRDefault="00914D8E" w:rsidP="00FC3F4C"/>
        </w:tc>
      </w:tr>
      <w:tr w:rsidR="00914D8E" w14:paraId="4DBEF8AA" w14:textId="77777777" w:rsidTr="00FC3F4C">
        <w:tc>
          <w:tcPr>
            <w:tcW w:w="4675" w:type="dxa"/>
          </w:tcPr>
          <w:p w14:paraId="43D90590" w14:textId="4B1F547E" w:rsidR="00914D8E" w:rsidRDefault="00914D8E" w:rsidP="00FC3F4C">
            <w:r>
              <w:t>BTM resources meet environmental stewardship goals</w:t>
            </w:r>
          </w:p>
        </w:tc>
        <w:tc>
          <w:tcPr>
            <w:tcW w:w="4675" w:type="dxa"/>
            <w:vMerge/>
          </w:tcPr>
          <w:p w14:paraId="77B74AD6" w14:textId="77777777" w:rsidR="00914D8E" w:rsidRDefault="00914D8E" w:rsidP="00FC3F4C"/>
        </w:tc>
      </w:tr>
    </w:tbl>
    <w:p w14:paraId="46DFC635" w14:textId="77777777" w:rsidR="00FC3F4C" w:rsidRDefault="00FC3F4C" w:rsidP="001969EF"/>
    <w:p w14:paraId="15DF60C0" w14:textId="351170AF" w:rsidR="000626CC" w:rsidRDefault="000626CC" w:rsidP="001969EF">
      <w:r>
        <w:t xml:space="preserve">The projected supply mix under the </w:t>
      </w:r>
      <w:r w:rsidR="00F427AD">
        <w:t xml:space="preserve">Recommended portfolio is shown for four distinct years in Figure </w:t>
      </w:r>
      <w:r w:rsidR="00502CEA">
        <w:t>10</w:t>
      </w:r>
      <w:r w:rsidR="00F427AD">
        <w:t xml:space="preserve">. </w:t>
      </w:r>
    </w:p>
    <w:p w14:paraId="3BC88CB4" w14:textId="77777777" w:rsidR="000626CC" w:rsidRDefault="000626CC" w:rsidP="001969EF"/>
    <w:p w14:paraId="0C53E067" w14:textId="77777777" w:rsidR="00E14A22" w:rsidRDefault="00E14A22">
      <w:pPr>
        <w:spacing w:after="200" w:line="276" w:lineRule="auto"/>
        <w:rPr>
          <w:b/>
          <w:bCs/>
        </w:rPr>
      </w:pPr>
      <w:r>
        <w:rPr>
          <w:b/>
          <w:bCs/>
        </w:rPr>
        <w:br w:type="page"/>
      </w:r>
    </w:p>
    <w:p w14:paraId="41F3F0BF" w14:textId="791CB2B3" w:rsidR="000626CC" w:rsidRPr="00C855C7" w:rsidRDefault="000626CC" w:rsidP="00B52E15">
      <w:pPr>
        <w:keepNext/>
        <w:spacing w:after="120"/>
        <w:jc w:val="center"/>
        <w:rPr>
          <w:b/>
          <w:bCs/>
        </w:rPr>
      </w:pPr>
      <w:r w:rsidRPr="00C855C7">
        <w:rPr>
          <w:b/>
          <w:bCs/>
        </w:rPr>
        <w:lastRenderedPageBreak/>
        <w:t xml:space="preserve">Figure </w:t>
      </w:r>
      <w:r w:rsidR="00502CEA">
        <w:rPr>
          <w:b/>
          <w:bCs/>
        </w:rPr>
        <w:t>10</w:t>
      </w:r>
      <w:r w:rsidRPr="00C855C7">
        <w:rPr>
          <w:b/>
          <w:bCs/>
        </w:rPr>
        <w:t>: Projected District Electric Supply Mix in by Resource Type</w:t>
      </w:r>
      <w:r>
        <w:rPr>
          <w:b/>
          <w:bCs/>
        </w:rPr>
        <w:t xml:space="preserve"> Under Recommended Portfolio: CY 2025, 2030, 2035</w:t>
      </w:r>
      <w:r w:rsidR="004C0B6C">
        <w:rPr>
          <w:b/>
          <w:bCs/>
        </w:rPr>
        <w:t>,</w:t>
      </w:r>
      <w:r>
        <w:rPr>
          <w:b/>
          <w:bCs/>
        </w:rPr>
        <w:t xml:space="preserve"> and </w:t>
      </w:r>
      <w:proofErr w:type="gramStart"/>
      <w:r>
        <w:rPr>
          <w:b/>
          <w:bCs/>
        </w:rPr>
        <w:t>2040</w:t>
      </w:r>
      <w:proofErr w:type="gramEnd"/>
    </w:p>
    <w:tbl>
      <w:tblPr>
        <w:tblStyle w:val="TableGrid"/>
        <w:tblW w:w="0" w:type="auto"/>
        <w:tblLook w:val="04A0" w:firstRow="1" w:lastRow="0" w:firstColumn="1" w:lastColumn="0" w:noHBand="0" w:noVBand="1"/>
      </w:tblPr>
      <w:tblGrid>
        <w:gridCol w:w="4686"/>
        <w:gridCol w:w="4664"/>
      </w:tblGrid>
      <w:tr w:rsidR="00F427AD" w14:paraId="2DC68DB8" w14:textId="77777777" w:rsidTr="00F427AD">
        <w:tc>
          <w:tcPr>
            <w:tcW w:w="3488" w:type="dxa"/>
          </w:tcPr>
          <w:p w14:paraId="3C18E1DB" w14:textId="43380DB5" w:rsidR="00F427AD" w:rsidRDefault="00F427AD" w:rsidP="001969EF">
            <w:r>
              <w:rPr>
                <w:noProof/>
              </w:rPr>
              <w:drawing>
                <wp:inline distT="0" distB="0" distL="0" distR="0" wp14:anchorId="5872B1B1" wp14:editId="14341E1D">
                  <wp:extent cx="2868759" cy="2063750"/>
                  <wp:effectExtent l="0" t="0" r="1905" b="0"/>
                  <wp:docPr id="34870260" name="Picture 34870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70260" name=""/>
                          <pic:cNvPicPr/>
                        </pic:nvPicPr>
                        <pic:blipFill>
                          <a:blip r:embed="rId41"/>
                          <a:stretch>
                            <a:fillRect/>
                          </a:stretch>
                        </pic:blipFill>
                        <pic:spPr>
                          <a:xfrm>
                            <a:off x="0" y="0"/>
                            <a:ext cx="2872915" cy="2066740"/>
                          </a:xfrm>
                          <a:prstGeom prst="rect">
                            <a:avLst/>
                          </a:prstGeom>
                        </pic:spPr>
                      </pic:pic>
                    </a:graphicData>
                  </a:graphic>
                </wp:inline>
              </w:drawing>
            </w:r>
          </w:p>
        </w:tc>
        <w:tc>
          <w:tcPr>
            <w:tcW w:w="5862" w:type="dxa"/>
          </w:tcPr>
          <w:p w14:paraId="219D6208" w14:textId="3CBBBCA6" w:rsidR="00F427AD" w:rsidRDefault="00F427AD" w:rsidP="001969EF">
            <w:r>
              <w:rPr>
                <w:noProof/>
              </w:rPr>
              <w:drawing>
                <wp:inline distT="0" distB="0" distL="0" distR="0" wp14:anchorId="0940F60A" wp14:editId="1C2B86EC">
                  <wp:extent cx="2859932" cy="2057400"/>
                  <wp:effectExtent l="0" t="0" r="0" b="0"/>
                  <wp:docPr id="1607222493" name="Picture 1607222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222493" name=""/>
                          <pic:cNvPicPr/>
                        </pic:nvPicPr>
                        <pic:blipFill>
                          <a:blip r:embed="rId42"/>
                          <a:stretch>
                            <a:fillRect/>
                          </a:stretch>
                        </pic:blipFill>
                        <pic:spPr>
                          <a:xfrm>
                            <a:off x="0" y="0"/>
                            <a:ext cx="2867524" cy="2062862"/>
                          </a:xfrm>
                          <a:prstGeom prst="rect">
                            <a:avLst/>
                          </a:prstGeom>
                        </pic:spPr>
                      </pic:pic>
                    </a:graphicData>
                  </a:graphic>
                </wp:inline>
              </w:drawing>
            </w:r>
          </w:p>
        </w:tc>
      </w:tr>
      <w:tr w:rsidR="00F427AD" w14:paraId="0330119C" w14:textId="77777777" w:rsidTr="00F427AD">
        <w:tc>
          <w:tcPr>
            <w:tcW w:w="3488" w:type="dxa"/>
          </w:tcPr>
          <w:p w14:paraId="3537AA41" w14:textId="6295E5D4" w:rsidR="00F427AD" w:rsidRDefault="00F427AD" w:rsidP="001969EF">
            <w:r>
              <w:rPr>
                <w:noProof/>
              </w:rPr>
              <w:drawing>
                <wp:inline distT="0" distB="0" distL="0" distR="0" wp14:anchorId="2B9EE2AA" wp14:editId="6E4625E5">
                  <wp:extent cx="2884927" cy="2070100"/>
                  <wp:effectExtent l="0" t="0" r="0" b="0"/>
                  <wp:docPr id="984174374" name="Picture 984174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174374" name=""/>
                          <pic:cNvPicPr/>
                        </pic:nvPicPr>
                        <pic:blipFill>
                          <a:blip r:embed="rId43"/>
                          <a:stretch>
                            <a:fillRect/>
                          </a:stretch>
                        </pic:blipFill>
                        <pic:spPr>
                          <a:xfrm>
                            <a:off x="0" y="0"/>
                            <a:ext cx="2889970" cy="2073719"/>
                          </a:xfrm>
                          <a:prstGeom prst="rect">
                            <a:avLst/>
                          </a:prstGeom>
                        </pic:spPr>
                      </pic:pic>
                    </a:graphicData>
                  </a:graphic>
                </wp:inline>
              </w:drawing>
            </w:r>
          </w:p>
        </w:tc>
        <w:tc>
          <w:tcPr>
            <w:tcW w:w="5862" w:type="dxa"/>
          </w:tcPr>
          <w:p w14:paraId="338B545C" w14:textId="2834E078" w:rsidR="00F427AD" w:rsidRDefault="00F427AD" w:rsidP="001969EF">
            <w:r>
              <w:rPr>
                <w:noProof/>
              </w:rPr>
              <w:drawing>
                <wp:inline distT="0" distB="0" distL="0" distR="0" wp14:anchorId="0F9433A3" wp14:editId="23926BE7">
                  <wp:extent cx="2868759" cy="2063750"/>
                  <wp:effectExtent l="0" t="0" r="1905" b="0"/>
                  <wp:docPr id="1698940530" name="Picture 1698940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940530" name=""/>
                          <pic:cNvPicPr/>
                        </pic:nvPicPr>
                        <pic:blipFill>
                          <a:blip r:embed="rId44"/>
                          <a:stretch>
                            <a:fillRect/>
                          </a:stretch>
                        </pic:blipFill>
                        <pic:spPr>
                          <a:xfrm>
                            <a:off x="0" y="0"/>
                            <a:ext cx="2877463" cy="2070012"/>
                          </a:xfrm>
                          <a:prstGeom prst="rect">
                            <a:avLst/>
                          </a:prstGeom>
                        </pic:spPr>
                      </pic:pic>
                    </a:graphicData>
                  </a:graphic>
                </wp:inline>
              </w:drawing>
            </w:r>
          </w:p>
        </w:tc>
      </w:tr>
    </w:tbl>
    <w:p w14:paraId="52D43D15" w14:textId="77777777" w:rsidR="000626CC" w:rsidRDefault="000626CC" w:rsidP="001969EF"/>
    <w:p w14:paraId="2788F8EE" w14:textId="759B05D0" w:rsidR="00F427AD" w:rsidRDefault="00F427AD" w:rsidP="001969EF">
      <w:r>
        <w:t xml:space="preserve">The Recommended portfolio shows </w:t>
      </w:r>
      <w:r w:rsidR="00AA51A9">
        <w:t xml:space="preserve">increased reliance on renewable resources, such as geothermal and solar resources, </w:t>
      </w:r>
      <w:r w:rsidR="005A2A37">
        <w:t>while reducing</w:t>
      </w:r>
      <w:r w:rsidR="00AA51A9">
        <w:t xml:space="preserve"> the District</w:t>
      </w:r>
      <w:r w:rsidR="005A2A37">
        <w:t>’s reliance on</w:t>
      </w:r>
      <w:r w:rsidR="00AA51A9">
        <w:t xml:space="preserve"> natural-gas-fired resources. </w:t>
      </w:r>
      <w:r w:rsidR="00A25320">
        <w:t xml:space="preserve"> </w:t>
      </w:r>
      <w:r w:rsidR="005A2A37">
        <w:t>The significant increase in contracted</w:t>
      </w:r>
      <w:r w:rsidR="00AA51A9">
        <w:t xml:space="preserve"> resources help</w:t>
      </w:r>
      <w:r w:rsidR="005A2A37">
        <w:t>s</w:t>
      </w:r>
      <w:r w:rsidR="00AA51A9">
        <w:t xml:space="preserve"> the District </w:t>
      </w:r>
      <w:r w:rsidR="005A2A37">
        <w:t xml:space="preserve">transition </w:t>
      </w:r>
      <w:r w:rsidR="00AA51A9">
        <w:t xml:space="preserve">from </w:t>
      </w:r>
      <w:r w:rsidR="004C0B6C">
        <w:t xml:space="preserve">being </w:t>
      </w:r>
      <w:r w:rsidR="00AA51A9">
        <w:t>a net buyer i</w:t>
      </w:r>
      <w:r w:rsidR="004C0B6C">
        <w:t>n</w:t>
      </w:r>
      <w:r w:rsidR="00AA51A9">
        <w:t xml:space="preserve"> the spot market in the early years (2025) to </w:t>
      </w:r>
      <w:r w:rsidR="004C0B6C">
        <w:t xml:space="preserve">a </w:t>
      </w:r>
      <w:r w:rsidR="00AA51A9">
        <w:t xml:space="preserve">net seller in the later years. </w:t>
      </w:r>
      <w:r w:rsidR="00A25320">
        <w:t xml:space="preserve"> </w:t>
      </w:r>
      <w:r w:rsidR="005A2A37">
        <w:t>C</w:t>
      </w:r>
      <w:r w:rsidR="00AA51A9">
        <w:t xml:space="preserve">ontracting with RA-eligible resources </w:t>
      </w:r>
      <w:r w:rsidR="004C0B6C">
        <w:t>allows</w:t>
      </w:r>
      <w:r w:rsidR="00AA51A9">
        <w:t xml:space="preserve"> </w:t>
      </w:r>
      <w:r w:rsidR="004C0B6C">
        <w:t xml:space="preserve">the </w:t>
      </w:r>
      <w:r w:rsidR="00AA51A9">
        <w:t>District in mostly comply with the 115% PRM over the planning period</w:t>
      </w:r>
      <w:r w:rsidR="005A2A37">
        <w:t xml:space="preserve"> with long-term contracted resources</w:t>
      </w:r>
      <w:r w:rsidR="004C0B6C">
        <w:t>,</w:t>
      </w:r>
      <w:r w:rsidR="00AA51A9">
        <w:t xml:space="preserve"> as shown in Table </w:t>
      </w:r>
      <w:r w:rsidR="00815F60">
        <w:t>7</w:t>
      </w:r>
      <w:r w:rsidR="00AA51A9">
        <w:t xml:space="preserve"> below.</w:t>
      </w:r>
    </w:p>
    <w:p w14:paraId="576B2652" w14:textId="77777777" w:rsidR="00AA51A9" w:rsidRDefault="00AA51A9" w:rsidP="001969EF"/>
    <w:p w14:paraId="32217D2C" w14:textId="204CC0E5" w:rsidR="00AA51A9" w:rsidRDefault="00AA51A9" w:rsidP="00B52E15">
      <w:pPr>
        <w:spacing w:after="120"/>
        <w:jc w:val="center"/>
        <w:rPr>
          <w:b/>
          <w:bCs/>
        </w:rPr>
      </w:pPr>
      <w:r w:rsidRPr="00874A11">
        <w:rPr>
          <w:b/>
          <w:bCs/>
        </w:rPr>
        <w:t xml:space="preserve">Table </w:t>
      </w:r>
      <w:r w:rsidR="00815F60">
        <w:rPr>
          <w:b/>
          <w:bCs/>
        </w:rPr>
        <w:t>7</w:t>
      </w:r>
      <w:r w:rsidRPr="00874A11">
        <w:rPr>
          <w:b/>
          <w:bCs/>
        </w:rPr>
        <w:t xml:space="preserve">: Performance of Recommended Portfolio in Meeting Reliability and State Policy </w:t>
      </w:r>
      <w:r w:rsidRPr="00AA51A9">
        <w:rPr>
          <w:b/>
          <w:bCs/>
        </w:rPr>
        <w:t>Criteria</w:t>
      </w:r>
      <w:r>
        <w:rPr>
          <w:b/>
          <w:bCs/>
        </w:rPr>
        <w:t>: CY 2025, 2030, 2035 and 2040</w:t>
      </w:r>
    </w:p>
    <w:tbl>
      <w:tblPr>
        <w:tblW w:w="7589" w:type="dxa"/>
        <w:jc w:val="center"/>
        <w:tblLook w:val="04A0" w:firstRow="1" w:lastRow="0" w:firstColumn="1" w:lastColumn="0" w:noHBand="0" w:noVBand="1"/>
      </w:tblPr>
      <w:tblGrid>
        <w:gridCol w:w="2209"/>
        <w:gridCol w:w="1345"/>
        <w:gridCol w:w="1345"/>
        <w:gridCol w:w="1345"/>
        <w:gridCol w:w="1345"/>
      </w:tblGrid>
      <w:tr w:rsidR="00815F60" w:rsidRPr="00874A11" w14:paraId="7CB2EA3B" w14:textId="77777777" w:rsidTr="00874A11">
        <w:trPr>
          <w:trHeight w:val="273"/>
          <w:jc w:val="center"/>
        </w:trPr>
        <w:tc>
          <w:tcPr>
            <w:tcW w:w="22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768F40" w14:textId="77777777" w:rsidR="00815F60" w:rsidRPr="00874A11" w:rsidRDefault="00815F60">
            <w:pPr>
              <w:jc w:val="center"/>
              <w:rPr>
                <w:rFonts w:ascii="Calibri" w:hAnsi="Calibri" w:cs="Calibri"/>
                <w:b/>
                <w:bCs/>
                <w:color w:val="000000"/>
                <w:sz w:val="22"/>
                <w:szCs w:val="22"/>
              </w:rPr>
            </w:pPr>
            <w:r w:rsidRPr="00874A11">
              <w:rPr>
                <w:rFonts w:ascii="Calibri" w:hAnsi="Calibri" w:cs="Calibri"/>
                <w:b/>
                <w:bCs/>
                <w:color w:val="000000"/>
                <w:sz w:val="22"/>
                <w:szCs w:val="22"/>
              </w:rPr>
              <w:t>Criteria</w:t>
            </w:r>
          </w:p>
        </w:tc>
        <w:tc>
          <w:tcPr>
            <w:tcW w:w="1345" w:type="dxa"/>
            <w:tcBorders>
              <w:top w:val="single" w:sz="4" w:space="0" w:color="auto"/>
              <w:left w:val="nil"/>
              <w:bottom w:val="single" w:sz="4" w:space="0" w:color="auto"/>
              <w:right w:val="single" w:sz="4" w:space="0" w:color="auto"/>
            </w:tcBorders>
            <w:shd w:val="clear" w:color="auto" w:fill="auto"/>
            <w:noWrap/>
            <w:vAlign w:val="center"/>
            <w:hideMark/>
          </w:tcPr>
          <w:p w14:paraId="12627B65" w14:textId="77777777" w:rsidR="00815F60" w:rsidRPr="00874A11" w:rsidRDefault="00815F60">
            <w:pPr>
              <w:jc w:val="center"/>
              <w:rPr>
                <w:rFonts w:ascii="Calibri" w:hAnsi="Calibri" w:cs="Calibri"/>
                <w:b/>
                <w:bCs/>
                <w:color w:val="000000"/>
                <w:sz w:val="22"/>
                <w:szCs w:val="22"/>
              </w:rPr>
            </w:pPr>
            <w:r w:rsidRPr="00874A11">
              <w:rPr>
                <w:rFonts w:ascii="Calibri" w:hAnsi="Calibri" w:cs="Calibri"/>
                <w:b/>
                <w:bCs/>
                <w:color w:val="000000"/>
                <w:sz w:val="22"/>
                <w:szCs w:val="22"/>
              </w:rPr>
              <w:t xml:space="preserve">2025 </w:t>
            </w:r>
          </w:p>
        </w:tc>
        <w:tc>
          <w:tcPr>
            <w:tcW w:w="1345" w:type="dxa"/>
            <w:tcBorders>
              <w:top w:val="single" w:sz="4" w:space="0" w:color="auto"/>
              <w:left w:val="nil"/>
              <w:bottom w:val="single" w:sz="4" w:space="0" w:color="auto"/>
              <w:right w:val="single" w:sz="4" w:space="0" w:color="auto"/>
            </w:tcBorders>
            <w:shd w:val="clear" w:color="auto" w:fill="auto"/>
            <w:noWrap/>
            <w:vAlign w:val="center"/>
            <w:hideMark/>
          </w:tcPr>
          <w:p w14:paraId="67248FCE" w14:textId="77777777" w:rsidR="00815F60" w:rsidRPr="00874A11" w:rsidRDefault="00815F60">
            <w:pPr>
              <w:jc w:val="center"/>
              <w:rPr>
                <w:rFonts w:ascii="Calibri" w:hAnsi="Calibri" w:cs="Calibri"/>
                <w:b/>
                <w:bCs/>
                <w:color w:val="000000"/>
                <w:sz w:val="22"/>
                <w:szCs w:val="22"/>
              </w:rPr>
            </w:pPr>
            <w:r w:rsidRPr="00874A11">
              <w:rPr>
                <w:rFonts w:ascii="Calibri" w:hAnsi="Calibri" w:cs="Calibri"/>
                <w:b/>
                <w:bCs/>
                <w:color w:val="000000"/>
                <w:sz w:val="22"/>
                <w:szCs w:val="22"/>
              </w:rPr>
              <w:t xml:space="preserve">2030 </w:t>
            </w:r>
          </w:p>
        </w:tc>
        <w:tc>
          <w:tcPr>
            <w:tcW w:w="1345" w:type="dxa"/>
            <w:tcBorders>
              <w:top w:val="single" w:sz="4" w:space="0" w:color="auto"/>
              <w:left w:val="nil"/>
              <w:bottom w:val="single" w:sz="4" w:space="0" w:color="auto"/>
              <w:right w:val="single" w:sz="4" w:space="0" w:color="auto"/>
            </w:tcBorders>
            <w:shd w:val="clear" w:color="auto" w:fill="auto"/>
            <w:noWrap/>
            <w:vAlign w:val="center"/>
            <w:hideMark/>
          </w:tcPr>
          <w:p w14:paraId="00ADC1EF" w14:textId="77777777" w:rsidR="00815F60" w:rsidRPr="00874A11" w:rsidRDefault="00815F60">
            <w:pPr>
              <w:jc w:val="center"/>
              <w:rPr>
                <w:rFonts w:ascii="Calibri" w:hAnsi="Calibri" w:cs="Calibri"/>
                <w:b/>
                <w:bCs/>
                <w:color w:val="000000"/>
                <w:sz w:val="22"/>
                <w:szCs w:val="22"/>
              </w:rPr>
            </w:pPr>
            <w:r w:rsidRPr="00874A11">
              <w:rPr>
                <w:rFonts w:ascii="Calibri" w:hAnsi="Calibri" w:cs="Calibri"/>
                <w:b/>
                <w:bCs/>
                <w:color w:val="000000"/>
                <w:sz w:val="22"/>
                <w:szCs w:val="22"/>
              </w:rPr>
              <w:t xml:space="preserve">2035 </w:t>
            </w:r>
          </w:p>
        </w:tc>
        <w:tc>
          <w:tcPr>
            <w:tcW w:w="1345" w:type="dxa"/>
            <w:tcBorders>
              <w:top w:val="single" w:sz="4" w:space="0" w:color="auto"/>
              <w:left w:val="nil"/>
              <w:bottom w:val="single" w:sz="4" w:space="0" w:color="auto"/>
              <w:right w:val="single" w:sz="4" w:space="0" w:color="auto"/>
            </w:tcBorders>
            <w:shd w:val="clear" w:color="auto" w:fill="auto"/>
            <w:noWrap/>
            <w:vAlign w:val="center"/>
            <w:hideMark/>
          </w:tcPr>
          <w:p w14:paraId="24F5971D" w14:textId="77777777" w:rsidR="00815F60" w:rsidRPr="00874A11" w:rsidRDefault="00815F60">
            <w:pPr>
              <w:jc w:val="center"/>
              <w:rPr>
                <w:rFonts w:ascii="Calibri" w:hAnsi="Calibri" w:cs="Calibri"/>
                <w:b/>
                <w:bCs/>
                <w:color w:val="000000"/>
                <w:sz w:val="22"/>
                <w:szCs w:val="22"/>
              </w:rPr>
            </w:pPr>
            <w:r w:rsidRPr="00874A11">
              <w:rPr>
                <w:rFonts w:ascii="Calibri" w:hAnsi="Calibri" w:cs="Calibri"/>
                <w:b/>
                <w:bCs/>
                <w:color w:val="000000"/>
                <w:sz w:val="22"/>
                <w:szCs w:val="22"/>
              </w:rPr>
              <w:t xml:space="preserve">2040 </w:t>
            </w:r>
          </w:p>
        </w:tc>
      </w:tr>
      <w:tr w:rsidR="00815F60" w:rsidRPr="00874A11" w14:paraId="4097FF93" w14:textId="77777777" w:rsidTr="00874A11">
        <w:trPr>
          <w:trHeight w:val="273"/>
          <w:jc w:val="center"/>
        </w:trPr>
        <w:tc>
          <w:tcPr>
            <w:tcW w:w="2209" w:type="dxa"/>
            <w:tcBorders>
              <w:top w:val="nil"/>
              <w:left w:val="single" w:sz="4" w:space="0" w:color="auto"/>
              <w:bottom w:val="single" w:sz="4" w:space="0" w:color="auto"/>
              <w:right w:val="single" w:sz="4" w:space="0" w:color="auto"/>
            </w:tcBorders>
            <w:shd w:val="clear" w:color="auto" w:fill="auto"/>
            <w:noWrap/>
            <w:vAlign w:val="center"/>
            <w:hideMark/>
          </w:tcPr>
          <w:p w14:paraId="76D0D5B3" w14:textId="77777777" w:rsidR="00815F60" w:rsidRPr="00874A11" w:rsidRDefault="00815F60">
            <w:pPr>
              <w:rPr>
                <w:rFonts w:ascii="Calibri" w:hAnsi="Calibri" w:cs="Calibri"/>
                <w:b/>
                <w:bCs/>
                <w:color w:val="000000"/>
                <w:sz w:val="22"/>
                <w:szCs w:val="22"/>
              </w:rPr>
            </w:pPr>
            <w:r w:rsidRPr="00874A11">
              <w:rPr>
                <w:rFonts w:ascii="Calibri" w:hAnsi="Calibri" w:cs="Calibri"/>
                <w:b/>
                <w:bCs/>
                <w:color w:val="000000"/>
                <w:sz w:val="22"/>
                <w:szCs w:val="22"/>
              </w:rPr>
              <w:t>Contracted PRM (%)</w:t>
            </w:r>
          </w:p>
        </w:tc>
        <w:tc>
          <w:tcPr>
            <w:tcW w:w="1345" w:type="dxa"/>
            <w:tcBorders>
              <w:top w:val="nil"/>
              <w:left w:val="nil"/>
              <w:bottom w:val="single" w:sz="4" w:space="0" w:color="auto"/>
              <w:right w:val="single" w:sz="4" w:space="0" w:color="auto"/>
            </w:tcBorders>
            <w:shd w:val="clear" w:color="auto" w:fill="auto"/>
            <w:noWrap/>
            <w:vAlign w:val="center"/>
            <w:hideMark/>
          </w:tcPr>
          <w:p w14:paraId="44A32ACA" w14:textId="77777777" w:rsidR="00815F60" w:rsidRPr="00874A11" w:rsidRDefault="00815F60">
            <w:pPr>
              <w:jc w:val="right"/>
              <w:rPr>
                <w:rFonts w:ascii="Calibri" w:hAnsi="Calibri" w:cs="Calibri"/>
                <w:color w:val="000000"/>
                <w:sz w:val="22"/>
                <w:szCs w:val="22"/>
              </w:rPr>
            </w:pPr>
            <w:r w:rsidRPr="00874A11">
              <w:rPr>
                <w:rFonts w:ascii="Calibri" w:hAnsi="Calibri" w:cs="Calibri"/>
                <w:color w:val="000000"/>
                <w:sz w:val="22"/>
                <w:szCs w:val="22"/>
              </w:rPr>
              <w:t>96%*</w:t>
            </w:r>
          </w:p>
        </w:tc>
        <w:tc>
          <w:tcPr>
            <w:tcW w:w="1345" w:type="dxa"/>
            <w:tcBorders>
              <w:top w:val="nil"/>
              <w:left w:val="nil"/>
              <w:bottom w:val="single" w:sz="4" w:space="0" w:color="auto"/>
              <w:right w:val="single" w:sz="4" w:space="0" w:color="auto"/>
            </w:tcBorders>
            <w:shd w:val="clear" w:color="auto" w:fill="auto"/>
            <w:noWrap/>
            <w:vAlign w:val="center"/>
            <w:hideMark/>
          </w:tcPr>
          <w:p w14:paraId="42AD5D7A" w14:textId="77777777" w:rsidR="00815F60" w:rsidRPr="00874A11" w:rsidRDefault="00815F60">
            <w:pPr>
              <w:jc w:val="right"/>
              <w:rPr>
                <w:rFonts w:ascii="Calibri" w:hAnsi="Calibri" w:cs="Calibri"/>
                <w:color w:val="000000"/>
                <w:sz w:val="22"/>
                <w:szCs w:val="22"/>
              </w:rPr>
            </w:pPr>
            <w:r w:rsidRPr="00874A11">
              <w:rPr>
                <w:rFonts w:ascii="Calibri" w:hAnsi="Calibri" w:cs="Calibri"/>
                <w:color w:val="000000"/>
                <w:sz w:val="22"/>
                <w:szCs w:val="22"/>
              </w:rPr>
              <w:t>118%</w:t>
            </w:r>
          </w:p>
        </w:tc>
        <w:tc>
          <w:tcPr>
            <w:tcW w:w="1345" w:type="dxa"/>
            <w:tcBorders>
              <w:top w:val="nil"/>
              <w:left w:val="nil"/>
              <w:bottom w:val="single" w:sz="4" w:space="0" w:color="auto"/>
              <w:right w:val="single" w:sz="4" w:space="0" w:color="auto"/>
            </w:tcBorders>
            <w:shd w:val="clear" w:color="auto" w:fill="auto"/>
            <w:noWrap/>
            <w:vAlign w:val="center"/>
            <w:hideMark/>
          </w:tcPr>
          <w:p w14:paraId="0FE7DFD9" w14:textId="77777777" w:rsidR="00815F60" w:rsidRPr="00874A11" w:rsidRDefault="00815F60">
            <w:pPr>
              <w:jc w:val="right"/>
              <w:rPr>
                <w:rFonts w:ascii="Calibri" w:hAnsi="Calibri" w:cs="Calibri"/>
                <w:color w:val="000000"/>
                <w:sz w:val="22"/>
                <w:szCs w:val="22"/>
              </w:rPr>
            </w:pPr>
            <w:r w:rsidRPr="00874A11">
              <w:rPr>
                <w:rFonts w:ascii="Calibri" w:hAnsi="Calibri" w:cs="Calibri"/>
                <w:color w:val="000000"/>
                <w:sz w:val="22"/>
                <w:szCs w:val="22"/>
              </w:rPr>
              <w:t>129%</w:t>
            </w:r>
          </w:p>
        </w:tc>
        <w:tc>
          <w:tcPr>
            <w:tcW w:w="1345" w:type="dxa"/>
            <w:tcBorders>
              <w:top w:val="nil"/>
              <w:left w:val="nil"/>
              <w:bottom w:val="single" w:sz="4" w:space="0" w:color="auto"/>
              <w:right w:val="single" w:sz="4" w:space="0" w:color="auto"/>
            </w:tcBorders>
            <w:shd w:val="clear" w:color="auto" w:fill="auto"/>
            <w:noWrap/>
            <w:vAlign w:val="center"/>
            <w:hideMark/>
          </w:tcPr>
          <w:p w14:paraId="4D834918" w14:textId="77777777" w:rsidR="00815F60" w:rsidRPr="00874A11" w:rsidRDefault="00815F60">
            <w:pPr>
              <w:jc w:val="right"/>
              <w:rPr>
                <w:rFonts w:ascii="Calibri" w:hAnsi="Calibri" w:cs="Calibri"/>
                <w:color w:val="000000"/>
                <w:sz w:val="22"/>
                <w:szCs w:val="22"/>
              </w:rPr>
            </w:pPr>
            <w:r w:rsidRPr="00874A11">
              <w:rPr>
                <w:rFonts w:ascii="Calibri" w:hAnsi="Calibri" w:cs="Calibri"/>
                <w:color w:val="000000"/>
                <w:sz w:val="22"/>
                <w:szCs w:val="22"/>
              </w:rPr>
              <w:t>117%</w:t>
            </w:r>
          </w:p>
        </w:tc>
      </w:tr>
      <w:tr w:rsidR="00815F60" w:rsidRPr="00874A11" w14:paraId="76CB757A" w14:textId="77777777" w:rsidTr="00874A11">
        <w:trPr>
          <w:trHeight w:val="273"/>
          <w:jc w:val="center"/>
        </w:trPr>
        <w:tc>
          <w:tcPr>
            <w:tcW w:w="2209" w:type="dxa"/>
            <w:tcBorders>
              <w:top w:val="nil"/>
              <w:left w:val="single" w:sz="4" w:space="0" w:color="auto"/>
              <w:bottom w:val="single" w:sz="4" w:space="0" w:color="auto"/>
              <w:right w:val="single" w:sz="4" w:space="0" w:color="auto"/>
            </w:tcBorders>
            <w:shd w:val="clear" w:color="auto" w:fill="auto"/>
            <w:noWrap/>
            <w:vAlign w:val="center"/>
            <w:hideMark/>
          </w:tcPr>
          <w:p w14:paraId="22348CC9" w14:textId="77777777" w:rsidR="00815F60" w:rsidRPr="00874A11" w:rsidRDefault="00815F60">
            <w:pPr>
              <w:rPr>
                <w:rFonts w:ascii="Calibri" w:hAnsi="Calibri" w:cs="Calibri"/>
                <w:b/>
                <w:bCs/>
                <w:color w:val="000000"/>
                <w:sz w:val="22"/>
                <w:szCs w:val="22"/>
              </w:rPr>
            </w:pPr>
            <w:r w:rsidRPr="00874A11">
              <w:rPr>
                <w:rFonts w:ascii="Calibri" w:hAnsi="Calibri" w:cs="Calibri"/>
                <w:b/>
                <w:bCs/>
                <w:color w:val="000000"/>
                <w:sz w:val="22"/>
                <w:szCs w:val="22"/>
              </w:rPr>
              <w:t>Contracted RPS (%)</w:t>
            </w:r>
          </w:p>
        </w:tc>
        <w:tc>
          <w:tcPr>
            <w:tcW w:w="1345" w:type="dxa"/>
            <w:tcBorders>
              <w:top w:val="nil"/>
              <w:left w:val="nil"/>
              <w:bottom w:val="single" w:sz="4" w:space="0" w:color="auto"/>
              <w:right w:val="single" w:sz="4" w:space="0" w:color="auto"/>
            </w:tcBorders>
            <w:shd w:val="clear" w:color="auto" w:fill="auto"/>
            <w:noWrap/>
            <w:vAlign w:val="center"/>
            <w:hideMark/>
          </w:tcPr>
          <w:p w14:paraId="5509C173" w14:textId="77777777" w:rsidR="00815F60" w:rsidRPr="00874A11" w:rsidRDefault="00815F60">
            <w:pPr>
              <w:jc w:val="right"/>
              <w:rPr>
                <w:rFonts w:ascii="Calibri" w:hAnsi="Calibri" w:cs="Calibri"/>
                <w:color w:val="000000"/>
                <w:sz w:val="22"/>
                <w:szCs w:val="22"/>
              </w:rPr>
            </w:pPr>
            <w:r w:rsidRPr="00874A11">
              <w:rPr>
                <w:rFonts w:ascii="Calibri" w:hAnsi="Calibri" w:cs="Calibri"/>
                <w:color w:val="000000"/>
                <w:sz w:val="22"/>
                <w:szCs w:val="22"/>
              </w:rPr>
              <w:t>55%</w:t>
            </w:r>
          </w:p>
        </w:tc>
        <w:tc>
          <w:tcPr>
            <w:tcW w:w="1345" w:type="dxa"/>
            <w:tcBorders>
              <w:top w:val="nil"/>
              <w:left w:val="nil"/>
              <w:bottom w:val="single" w:sz="4" w:space="0" w:color="auto"/>
              <w:right w:val="single" w:sz="4" w:space="0" w:color="auto"/>
            </w:tcBorders>
            <w:shd w:val="clear" w:color="auto" w:fill="auto"/>
            <w:noWrap/>
            <w:vAlign w:val="center"/>
            <w:hideMark/>
          </w:tcPr>
          <w:p w14:paraId="724F4F16" w14:textId="77777777" w:rsidR="00815F60" w:rsidRPr="00874A11" w:rsidRDefault="00815F60">
            <w:pPr>
              <w:jc w:val="right"/>
              <w:rPr>
                <w:rFonts w:ascii="Calibri" w:hAnsi="Calibri" w:cs="Calibri"/>
                <w:color w:val="000000"/>
                <w:sz w:val="22"/>
                <w:szCs w:val="22"/>
              </w:rPr>
            </w:pPr>
            <w:r w:rsidRPr="00874A11">
              <w:rPr>
                <w:rFonts w:ascii="Calibri" w:hAnsi="Calibri" w:cs="Calibri"/>
                <w:color w:val="000000"/>
                <w:sz w:val="22"/>
                <w:szCs w:val="22"/>
              </w:rPr>
              <w:t>99%</w:t>
            </w:r>
          </w:p>
        </w:tc>
        <w:tc>
          <w:tcPr>
            <w:tcW w:w="1345" w:type="dxa"/>
            <w:tcBorders>
              <w:top w:val="nil"/>
              <w:left w:val="nil"/>
              <w:bottom w:val="single" w:sz="4" w:space="0" w:color="auto"/>
              <w:right w:val="single" w:sz="4" w:space="0" w:color="auto"/>
            </w:tcBorders>
            <w:shd w:val="clear" w:color="auto" w:fill="auto"/>
            <w:noWrap/>
            <w:vAlign w:val="center"/>
            <w:hideMark/>
          </w:tcPr>
          <w:p w14:paraId="6799F7ED" w14:textId="77777777" w:rsidR="00815F60" w:rsidRPr="00874A11" w:rsidRDefault="00815F60">
            <w:pPr>
              <w:jc w:val="right"/>
              <w:rPr>
                <w:rFonts w:ascii="Calibri" w:hAnsi="Calibri" w:cs="Calibri"/>
                <w:color w:val="000000"/>
                <w:sz w:val="22"/>
                <w:szCs w:val="22"/>
              </w:rPr>
            </w:pPr>
            <w:r w:rsidRPr="00874A11">
              <w:rPr>
                <w:rFonts w:ascii="Calibri" w:hAnsi="Calibri" w:cs="Calibri"/>
                <w:color w:val="000000"/>
                <w:sz w:val="22"/>
                <w:szCs w:val="22"/>
              </w:rPr>
              <w:t>109%</w:t>
            </w:r>
          </w:p>
        </w:tc>
        <w:tc>
          <w:tcPr>
            <w:tcW w:w="1345" w:type="dxa"/>
            <w:tcBorders>
              <w:top w:val="nil"/>
              <w:left w:val="nil"/>
              <w:bottom w:val="single" w:sz="4" w:space="0" w:color="auto"/>
              <w:right w:val="single" w:sz="4" w:space="0" w:color="auto"/>
            </w:tcBorders>
            <w:shd w:val="clear" w:color="auto" w:fill="auto"/>
            <w:noWrap/>
            <w:vAlign w:val="center"/>
            <w:hideMark/>
          </w:tcPr>
          <w:p w14:paraId="18C91F88" w14:textId="77777777" w:rsidR="00815F60" w:rsidRPr="00874A11" w:rsidRDefault="00815F60">
            <w:pPr>
              <w:jc w:val="right"/>
              <w:rPr>
                <w:rFonts w:ascii="Calibri" w:hAnsi="Calibri" w:cs="Calibri"/>
                <w:color w:val="000000"/>
                <w:sz w:val="22"/>
                <w:szCs w:val="22"/>
              </w:rPr>
            </w:pPr>
            <w:r w:rsidRPr="00874A11">
              <w:rPr>
                <w:rFonts w:ascii="Calibri" w:hAnsi="Calibri" w:cs="Calibri"/>
                <w:color w:val="000000"/>
                <w:sz w:val="22"/>
                <w:szCs w:val="22"/>
              </w:rPr>
              <w:t>104%</w:t>
            </w:r>
          </w:p>
        </w:tc>
      </w:tr>
      <w:tr w:rsidR="00815F60" w:rsidRPr="00874A11" w14:paraId="3071E1E6" w14:textId="77777777" w:rsidTr="00874A11">
        <w:trPr>
          <w:trHeight w:val="273"/>
          <w:jc w:val="center"/>
        </w:trPr>
        <w:tc>
          <w:tcPr>
            <w:tcW w:w="2209" w:type="dxa"/>
            <w:tcBorders>
              <w:top w:val="nil"/>
              <w:left w:val="single" w:sz="4" w:space="0" w:color="auto"/>
              <w:bottom w:val="single" w:sz="4" w:space="0" w:color="auto"/>
              <w:right w:val="single" w:sz="4" w:space="0" w:color="auto"/>
            </w:tcBorders>
            <w:shd w:val="clear" w:color="auto" w:fill="auto"/>
            <w:noWrap/>
            <w:vAlign w:val="center"/>
            <w:hideMark/>
          </w:tcPr>
          <w:p w14:paraId="7666B7B0" w14:textId="77777777" w:rsidR="00815F60" w:rsidRPr="00874A11" w:rsidRDefault="00815F60">
            <w:pPr>
              <w:rPr>
                <w:rFonts w:ascii="Calibri" w:hAnsi="Calibri" w:cs="Calibri"/>
                <w:b/>
                <w:bCs/>
                <w:color w:val="000000"/>
                <w:sz w:val="22"/>
                <w:szCs w:val="22"/>
              </w:rPr>
            </w:pPr>
            <w:r w:rsidRPr="00874A11">
              <w:rPr>
                <w:rFonts w:ascii="Calibri" w:hAnsi="Calibri" w:cs="Calibri"/>
                <w:b/>
                <w:bCs/>
                <w:color w:val="000000"/>
                <w:sz w:val="22"/>
                <w:szCs w:val="22"/>
              </w:rPr>
              <w:t>GHG Free (%)</w:t>
            </w:r>
          </w:p>
        </w:tc>
        <w:tc>
          <w:tcPr>
            <w:tcW w:w="1345" w:type="dxa"/>
            <w:tcBorders>
              <w:top w:val="nil"/>
              <w:left w:val="nil"/>
              <w:bottom w:val="single" w:sz="4" w:space="0" w:color="auto"/>
              <w:right w:val="single" w:sz="4" w:space="0" w:color="auto"/>
            </w:tcBorders>
            <w:shd w:val="clear" w:color="auto" w:fill="auto"/>
            <w:noWrap/>
            <w:vAlign w:val="center"/>
            <w:hideMark/>
          </w:tcPr>
          <w:p w14:paraId="5DA1CA34" w14:textId="77777777" w:rsidR="00815F60" w:rsidRPr="00874A11" w:rsidRDefault="00815F60">
            <w:pPr>
              <w:jc w:val="right"/>
              <w:rPr>
                <w:rFonts w:ascii="Calibri" w:hAnsi="Calibri" w:cs="Calibri"/>
                <w:color w:val="000000"/>
                <w:sz w:val="22"/>
                <w:szCs w:val="22"/>
              </w:rPr>
            </w:pPr>
            <w:r w:rsidRPr="00874A11">
              <w:rPr>
                <w:rFonts w:ascii="Calibri" w:hAnsi="Calibri" w:cs="Calibri"/>
                <w:color w:val="000000"/>
                <w:sz w:val="22"/>
                <w:szCs w:val="22"/>
              </w:rPr>
              <w:t>59%</w:t>
            </w:r>
          </w:p>
        </w:tc>
        <w:tc>
          <w:tcPr>
            <w:tcW w:w="1345" w:type="dxa"/>
            <w:tcBorders>
              <w:top w:val="nil"/>
              <w:left w:val="nil"/>
              <w:bottom w:val="single" w:sz="4" w:space="0" w:color="auto"/>
              <w:right w:val="single" w:sz="4" w:space="0" w:color="auto"/>
            </w:tcBorders>
            <w:shd w:val="clear" w:color="auto" w:fill="auto"/>
            <w:noWrap/>
            <w:vAlign w:val="center"/>
            <w:hideMark/>
          </w:tcPr>
          <w:p w14:paraId="22D7230E" w14:textId="77777777" w:rsidR="00815F60" w:rsidRPr="00874A11" w:rsidRDefault="00815F60">
            <w:pPr>
              <w:jc w:val="right"/>
              <w:rPr>
                <w:rFonts w:ascii="Calibri" w:hAnsi="Calibri" w:cs="Calibri"/>
                <w:color w:val="000000"/>
                <w:sz w:val="22"/>
                <w:szCs w:val="22"/>
              </w:rPr>
            </w:pPr>
            <w:r w:rsidRPr="00874A11">
              <w:rPr>
                <w:rFonts w:ascii="Calibri" w:hAnsi="Calibri" w:cs="Calibri"/>
                <w:color w:val="000000"/>
                <w:sz w:val="22"/>
                <w:szCs w:val="22"/>
              </w:rPr>
              <w:t>106%</w:t>
            </w:r>
          </w:p>
        </w:tc>
        <w:tc>
          <w:tcPr>
            <w:tcW w:w="1345" w:type="dxa"/>
            <w:tcBorders>
              <w:top w:val="nil"/>
              <w:left w:val="nil"/>
              <w:bottom w:val="single" w:sz="4" w:space="0" w:color="auto"/>
              <w:right w:val="single" w:sz="4" w:space="0" w:color="auto"/>
            </w:tcBorders>
            <w:shd w:val="clear" w:color="auto" w:fill="auto"/>
            <w:noWrap/>
            <w:vAlign w:val="center"/>
            <w:hideMark/>
          </w:tcPr>
          <w:p w14:paraId="326894B9" w14:textId="77777777" w:rsidR="00815F60" w:rsidRPr="00874A11" w:rsidRDefault="00815F60">
            <w:pPr>
              <w:jc w:val="right"/>
              <w:rPr>
                <w:rFonts w:ascii="Calibri" w:hAnsi="Calibri" w:cs="Calibri"/>
                <w:color w:val="000000"/>
                <w:sz w:val="22"/>
                <w:szCs w:val="22"/>
              </w:rPr>
            </w:pPr>
            <w:r w:rsidRPr="00874A11">
              <w:rPr>
                <w:rFonts w:ascii="Calibri" w:hAnsi="Calibri" w:cs="Calibri"/>
                <w:color w:val="000000"/>
                <w:sz w:val="22"/>
                <w:szCs w:val="22"/>
              </w:rPr>
              <w:t>111%</w:t>
            </w:r>
          </w:p>
        </w:tc>
        <w:tc>
          <w:tcPr>
            <w:tcW w:w="1345" w:type="dxa"/>
            <w:tcBorders>
              <w:top w:val="nil"/>
              <w:left w:val="nil"/>
              <w:bottom w:val="single" w:sz="4" w:space="0" w:color="auto"/>
              <w:right w:val="single" w:sz="4" w:space="0" w:color="auto"/>
            </w:tcBorders>
            <w:shd w:val="clear" w:color="auto" w:fill="auto"/>
            <w:noWrap/>
            <w:vAlign w:val="center"/>
            <w:hideMark/>
          </w:tcPr>
          <w:p w14:paraId="711E3F5E" w14:textId="77777777" w:rsidR="00815F60" w:rsidRPr="00874A11" w:rsidRDefault="00815F60">
            <w:pPr>
              <w:jc w:val="right"/>
              <w:rPr>
                <w:rFonts w:ascii="Calibri" w:hAnsi="Calibri" w:cs="Calibri"/>
                <w:color w:val="000000"/>
                <w:sz w:val="22"/>
                <w:szCs w:val="22"/>
              </w:rPr>
            </w:pPr>
            <w:r w:rsidRPr="00874A11">
              <w:rPr>
                <w:rFonts w:ascii="Calibri" w:hAnsi="Calibri" w:cs="Calibri"/>
                <w:color w:val="000000"/>
                <w:sz w:val="22"/>
                <w:szCs w:val="22"/>
              </w:rPr>
              <w:t>106%</w:t>
            </w:r>
          </w:p>
        </w:tc>
      </w:tr>
      <w:tr w:rsidR="00815F60" w:rsidRPr="00874A11" w14:paraId="64A22EAC" w14:textId="77777777" w:rsidTr="00874A11">
        <w:trPr>
          <w:trHeight w:val="273"/>
          <w:jc w:val="center"/>
        </w:trPr>
        <w:tc>
          <w:tcPr>
            <w:tcW w:w="6244" w:type="dxa"/>
            <w:gridSpan w:val="4"/>
            <w:tcBorders>
              <w:top w:val="nil"/>
              <w:left w:val="nil"/>
              <w:bottom w:val="nil"/>
              <w:right w:val="nil"/>
            </w:tcBorders>
            <w:shd w:val="clear" w:color="auto" w:fill="auto"/>
            <w:noWrap/>
            <w:vAlign w:val="bottom"/>
            <w:hideMark/>
          </w:tcPr>
          <w:p w14:paraId="1BF40C00" w14:textId="7AC11F1F" w:rsidR="00815F60" w:rsidRPr="00577A60" w:rsidRDefault="00815F60">
            <w:pPr>
              <w:rPr>
                <w:rFonts w:ascii="Calibri" w:hAnsi="Calibri" w:cs="Calibri"/>
                <w:color w:val="000000"/>
                <w:sz w:val="20"/>
                <w:szCs w:val="20"/>
              </w:rPr>
            </w:pPr>
            <w:r w:rsidRPr="00577A60">
              <w:rPr>
                <w:rFonts w:ascii="Calibri" w:hAnsi="Calibri" w:cs="Calibri"/>
                <w:color w:val="000000"/>
                <w:sz w:val="20"/>
                <w:szCs w:val="20"/>
              </w:rPr>
              <w:t xml:space="preserve">* Requires additional </w:t>
            </w:r>
            <w:r w:rsidR="00516E6A" w:rsidRPr="00577A60">
              <w:rPr>
                <w:rFonts w:ascii="Calibri" w:hAnsi="Calibri" w:cs="Calibri"/>
                <w:color w:val="000000"/>
                <w:sz w:val="20"/>
                <w:szCs w:val="20"/>
              </w:rPr>
              <w:t xml:space="preserve">short-term </w:t>
            </w:r>
            <w:r w:rsidRPr="00577A60">
              <w:rPr>
                <w:rFonts w:ascii="Calibri" w:hAnsi="Calibri" w:cs="Calibri"/>
                <w:color w:val="000000"/>
                <w:sz w:val="20"/>
                <w:szCs w:val="20"/>
              </w:rPr>
              <w:t>RA capacity purchase</w:t>
            </w:r>
            <w:r w:rsidR="00516E6A" w:rsidRPr="00577A60">
              <w:rPr>
                <w:rFonts w:ascii="Calibri" w:hAnsi="Calibri" w:cs="Calibri"/>
                <w:color w:val="000000"/>
                <w:sz w:val="20"/>
                <w:szCs w:val="20"/>
              </w:rPr>
              <w:t>s</w:t>
            </w:r>
            <w:r w:rsidRPr="00577A60">
              <w:rPr>
                <w:rFonts w:ascii="Calibri" w:hAnsi="Calibri" w:cs="Calibri"/>
                <w:color w:val="000000"/>
                <w:sz w:val="20"/>
                <w:szCs w:val="20"/>
              </w:rPr>
              <w:t xml:space="preserve"> to meet 115%</w:t>
            </w:r>
            <w:r w:rsidR="003526BD">
              <w:rPr>
                <w:rFonts w:ascii="Calibri" w:hAnsi="Calibri" w:cs="Calibri"/>
                <w:color w:val="000000"/>
                <w:sz w:val="20"/>
                <w:szCs w:val="20"/>
              </w:rPr>
              <w:t xml:space="preserve"> </w:t>
            </w:r>
            <w:r w:rsidRPr="00577A60">
              <w:rPr>
                <w:rFonts w:ascii="Calibri" w:hAnsi="Calibri" w:cs="Calibri"/>
                <w:color w:val="000000"/>
                <w:sz w:val="20"/>
                <w:szCs w:val="20"/>
              </w:rPr>
              <w:t>PRM</w:t>
            </w:r>
            <w:r w:rsidR="00A9482B" w:rsidRPr="00577A60">
              <w:rPr>
                <w:rFonts w:ascii="Calibri" w:hAnsi="Calibri" w:cs="Calibri"/>
                <w:color w:val="000000"/>
                <w:sz w:val="20"/>
                <w:szCs w:val="20"/>
              </w:rPr>
              <w:t xml:space="preserve">. The RPS target increases from </w:t>
            </w:r>
            <w:r w:rsidR="001C4034" w:rsidRPr="00577A60">
              <w:rPr>
                <w:rFonts w:ascii="Calibri" w:hAnsi="Calibri" w:cs="Calibri"/>
                <w:color w:val="000000"/>
                <w:sz w:val="20"/>
                <w:szCs w:val="20"/>
              </w:rPr>
              <w:t>45</w:t>
            </w:r>
            <w:r w:rsidR="00A9482B" w:rsidRPr="00577A60">
              <w:rPr>
                <w:rFonts w:ascii="Calibri" w:hAnsi="Calibri" w:cs="Calibri"/>
                <w:color w:val="000000"/>
                <w:sz w:val="20"/>
                <w:szCs w:val="20"/>
              </w:rPr>
              <w:t xml:space="preserve">% in 2025 to </w:t>
            </w:r>
            <w:r w:rsidR="001C4034" w:rsidRPr="00577A60">
              <w:rPr>
                <w:rFonts w:ascii="Calibri" w:hAnsi="Calibri" w:cs="Calibri"/>
                <w:color w:val="000000"/>
                <w:sz w:val="20"/>
                <w:szCs w:val="20"/>
              </w:rPr>
              <w:t>60</w:t>
            </w:r>
            <w:r w:rsidR="00A9482B" w:rsidRPr="00577A60">
              <w:rPr>
                <w:rFonts w:ascii="Calibri" w:hAnsi="Calibri" w:cs="Calibri"/>
                <w:color w:val="000000"/>
                <w:sz w:val="20"/>
                <w:szCs w:val="20"/>
              </w:rPr>
              <w:t xml:space="preserve">% </w:t>
            </w:r>
            <w:r w:rsidR="00755986">
              <w:rPr>
                <w:rFonts w:ascii="Calibri" w:hAnsi="Calibri" w:cs="Calibri"/>
                <w:color w:val="000000"/>
                <w:sz w:val="20"/>
                <w:szCs w:val="20"/>
              </w:rPr>
              <w:t>in</w:t>
            </w:r>
            <w:r w:rsidR="001C4034" w:rsidRPr="00577A60">
              <w:rPr>
                <w:rFonts w:ascii="Calibri" w:hAnsi="Calibri" w:cs="Calibri"/>
                <w:color w:val="000000"/>
                <w:sz w:val="20"/>
                <w:szCs w:val="20"/>
              </w:rPr>
              <w:t xml:space="preserve"> 2030</w:t>
            </w:r>
            <w:r w:rsidR="00A9482B" w:rsidRPr="00577A60">
              <w:rPr>
                <w:rFonts w:ascii="Calibri" w:hAnsi="Calibri" w:cs="Calibri"/>
                <w:color w:val="000000"/>
                <w:sz w:val="20"/>
                <w:szCs w:val="20"/>
              </w:rPr>
              <w:t xml:space="preserve">. The GHG Free target </w:t>
            </w:r>
            <w:r w:rsidR="00AA4AD4" w:rsidRPr="00577A60">
              <w:rPr>
                <w:rFonts w:ascii="Calibri" w:hAnsi="Calibri" w:cs="Calibri"/>
                <w:color w:val="000000"/>
                <w:sz w:val="20"/>
                <w:szCs w:val="20"/>
              </w:rPr>
              <w:t xml:space="preserve">is </w:t>
            </w:r>
            <w:r w:rsidR="001C4034" w:rsidRPr="00577A60">
              <w:rPr>
                <w:rFonts w:ascii="Calibri" w:hAnsi="Calibri" w:cs="Calibri"/>
                <w:color w:val="000000"/>
                <w:sz w:val="20"/>
                <w:szCs w:val="20"/>
              </w:rPr>
              <w:t>90% in 2035 and 95% in 2040.</w:t>
            </w:r>
          </w:p>
        </w:tc>
        <w:tc>
          <w:tcPr>
            <w:tcW w:w="1345" w:type="dxa"/>
            <w:tcBorders>
              <w:top w:val="nil"/>
              <w:left w:val="nil"/>
              <w:bottom w:val="nil"/>
              <w:right w:val="nil"/>
            </w:tcBorders>
            <w:shd w:val="clear" w:color="auto" w:fill="auto"/>
            <w:noWrap/>
            <w:vAlign w:val="bottom"/>
            <w:hideMark/>
          </w:tcPr>
          <w:p w14:paraId="7C7D0E80" w14:textId="77777777" w:rsidR="00815F60" w:rsidRPr="00577A60" w:rsidRDefault="00815F60">
            <w:pPr>
              <w:rPr>
                <w:rFonts w:ascii="Calibri" w:hAnsi="Calibri" w:cs="Calibri"/>
                <w:color w:val="000000"/>
                <w:sz w:val="20"/>
                <w:szCs w:val="20"/>
              </w:rPr>
            </w:pPr>
          </w:p>
        </w:tc>
      </w:tr>
    </w:tbl>
    <w:p w14:paraId="2DA91886" w14:textId="77777777" w:rsidR="00815F60" w:rsidRPr="00874A11" w:rsidRDefault="00815F60" w:rsidP="00874A11">
      <w:pPr>
        <w:jc w:val="center"/>
        <w:rPr>
          <w:b/>
          <w:bCs/>
        </w:rPr>
      </w:pPr>
    </w:p>
    <w:p w14:paraId="048A8609" w14:textId="0A50BBCA" w:rsidR="00AA51A9" w:rsidRDefault="00AA51A9" w:rsidP="001969EF">
      <w:r>
        <w:lastRenderedPageBreak/>
        <w:t xml:space="preserve">Table </w:t>
      </w:r>
      <w:r w:rsidR="005D5D9F">
        <w:t>7</w:t>
      </w:r>
      <w:r>
        <w:t xml:space="preserve"> also shows that the Recommended portfolio is compliant for the four distinct years in meeting the State RPS and GHG-free requirements. </w:t>
      </w:r>
      <w:r w:rsidR="00A25320">
        <w:t xml:space="preserve"> </w:t>
      </w:r>
      <w:r>
        <w:t xml:space="preserve">Figure </w:t>
      </w:r>
      <w:r w:rsidR="00502CEA">
        <w:t xml:space="preserve">11 </w:t>
      </w:r>
      <w:r>
        <w:t>confirms that this compliance holds for the entire planning period</w:t>
      </w:r>
      <w:r w:rsidR="009814A7">
        <w:t xml:space="preserve">. </w:t>
      </w:r>
      <w:r w:rsidR="00A25320">
        <w:t xml:space="preserve"> </w:t>
      </w:r>
      <w:r w:rsidR="009814A7">
        <w:t>That is, t</w:t>
      </w:r>
      <w:r w:rsidR="009814A7" w:rsidRPr="009814A7">
        <w:t xml:space="preserve">he Recommended </w:t>
      </w:r>
      <w:r w:rsidR="009814A7">
        <w:t>p</w:t>
      </w:r>
      <w:r w:rsidR="009814A7" w:rsidRPr="009814A7">
        <w:t>ortfolio meets the State policy goals by relying primarily on renewable</w:t>
      </w:r>
      <w:r w:rsidR="00516E6A">
        <w:t xml:space="preserve"> resource</w:t>
      </w:r>
      <w:r w:rsidR="009814A7" w:rsidRPr="009814A7">
        <w:t xml:space="preserve">s that meet the RPS </w:t>
      </w:r>
      <w:r w:rsidR="00516E6A">
        <w:t>requirements</w:t>
      </w:r>
      <w:r w:rsidR="00516E6A" w:rsidRPr="009814A7">
        <w:t xml:space="preserve"> </w:t>
      </w:r>
      <w:r w:rsidR="009814A7" w:rsidRPr="009814A7">
        <w:t>(Top Figure) and other GHG-free resources that count towards meeting the GHG</w:t>
      </w:r>
      <w:r w:rsidR="00516E6A">
        <w:t xml:space="preserve">-free </w:t>
      </w:r>
      <w:r w:rsidR="00247CA2">
        <w:t>goals</w:t>
      </w:r>
      <w:r w:rsidR="00516E6A">
        <w:t xml:space="preserve"> </w:t>
      </w:r>
      <w:r w:rsidR="009814A7" w:rsidRPr="009814A7">
        <w:t>(Bottom Figure).</w:t>
      </w:r>
    </w:p>
    <w:p w14:paraId="0A630EFD" w14:textId="77777777" w:rsidR="009814A7" w:rsidRDefault="009814A7" w:rsidP="001969EF"/>
    <w:p w14:paraId="22D7F5C5" w14:textId="55F8F569" w:rsidR="009814A7" w:rsidRDefault="009814A7" w:rsidP="00B52E15">
      <w:pPr>
        <w:spacing w:before="120"/>
        <w:jc w:val="center"/>
      </w:pPr>
      <w:r w:rsidRPr="00874A11">
        <w:rPr>
          <w:b/>
          <w:bCs/>
        </w:rPr>
        <w:t xml:space="preserve">Figure </w:t>
      </w:r>
      <w:r w:rsidR="00502CEA">
        <w:rPr>
          <w:b/>
          <w:bCs/>
        </w:rPr>
        <w:t>11</w:t>
      </w:r>
      <w:r w:rsidRPr="00874A11">
        <w:rPr>
          <w:b/>
          <w:bCs/>
        </w:rPr>
        <w:t>: Tracking RPS and GHG-Free Levels vs. Requirements – Recommended Portfolio</w:t>
      </w:r>
    </w:p>
    <w:tbl>
      <w:tblPr>
        <w:tblStyle w:val="TableGrid"/>
        <w:tblW w:w="0" w:type="auto"/>
        <w:tblLook w:val="04A0" w:firstRow="1" w:lastRow="0" w:firstColumn="1" w:lastColumn="0" w:noHBand="0" w:noVBand="1"/>
      </w:tblPr>
      <w:tblGrid>
        <w:gridCol w:w="9350"/>
      </w:tblGrid>
      <w:tr w:rsidR="009814A7" w14:paraId="4F0A30B4" w14:textId="77777777" w:rsidTr="009814A7">
        <w:tc>
          <w:tcPr>
            <w:tcW w:w="9350" w:type="dxa"/>
          </w:tcPr>
          <w:p w14:paraId="7F85E75F" w14:textId="68CFC02A" w:rsidR="009814A7" w:rsidRDefault="009814A7" w:rsidP="00874A11">
            <w:pPr>
              <w:jc w:val="center"/>
            </w:pPr>
            <w:r>
              <w:rPr>
                <w:noProof/>
              </w:rPr>
              <w:drawing>
                <wp:inline distT="0" distB="0" distL="0" distR="0" wp14:anchorId="050BFDAD" wp14:editId="5E3C35DC">
                  <wp:extent cx="5943600" cy="2221865"/>
                  <wp:effectExtent l="0" t="0" r="0" b="0"/>
                  <wp:docPr id="187438659" name="Picture 187438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38659" name=""/>
                          <pic:cNvPicPr/>
                        </pic:nvPicPr>
                        <pic:blipFill>
                          <a:blip r:embed="rId45"/>
                          <a:stretch>
                            <a:fillRect/>
                          </a:stretch>
                        </pic:blipFill>
                        <pic:spPr>
                          <a:xfrm>
                            <a:off x="0" y="0"/>
                            <a:ext cx="5943600" cy="2221865"/>
                          </a:xfrm>
                          <a:prstGeom prst="rect">
                            <a:avLst/>
                          </a:prstGeom>
                        </pic:spPr>
                      </pic:pic>
                    </a:graphicData>
                  </a:graphic>
                </wp:inline>
              </w:drawing>
            </w:r>
          </w:p>
        </w:tc>
      </w:tr>
      <w:tr w:rsidR="009814A7" w14:paraId="49AD594F" w14:textId="77777777" w:rsidTr="009814A7">
        <w:tc>
          <w:tcPr>
            <w:tcW w:w="9350" w:type="dxa"/>
          </w:tcPr>
          <w:p w14:paraId="54FB59B5" w14:textId="52C669BA" w:rsidR="009814A7" w:rsidRDefault="009814A7" w:rsidP="00874A11">
            <w:pPr>
              <w:jc w:val="center"/>
            </w:pPr>
            <w:r>
              <w:rPr>
                <w:noProof/>
              </w:rPr>
              <w:drawing>
                <wp:inline distT="0" distB="0" distL="0" distR="0" wp14:anchorId="20D2F138" wp14:editId="577CB35B">
                  <wp:extent cx="5943600" cy="2103755"/>
                  <wp:effectExtent l="0" t="0" r="0" b="4445"/>
                  <wp:docPr id="1182891288" name="Picture 1182891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891288" name=""/>
                          <pic:cNvPicPr/>
                        </pic:nvPicPr>
                        <pic:blipFill>
                          <a:blip r:embed="rId46"/>
                          <a:stretch>
                            <a:fillRect/>
                          </a:stretch>
                        </pic:blipFill>
                        <pic:spPr>
                          <a:xfrm>
                            <a:off x="0" y="0"/>
                            <a:ext cx="5943600" cy="2103755"/>
                          </a:xfrm>
                          <a:prstGeom prst="rect">
                            <a:avLst/>
                          </a:prstGeom>
                        </pic:spPr>
                      </pic:pic>
                    </a:graphicData>
                  </a:graphic>
                </wp:inline>
              </w:drawing>
            </w:r>
          </w:p>
        </w:tc>
      </w:tr>
    </w:tbl>
    <w:p w14:paraId="5559BD83" w14:textId="77777777" w:rsidR="009814A7" w:rsidRDefault="009814A7" w:rsidP="001969EF"/>
    <w:p w14:paraId="181E1893" w14:textId="6A576FD1" w:rsidR="008143A0" w:rsidRDefault="008143A0" w:rsidP="00BD7B7D">
      <w:r>
        <w:t xml:space="preserve">Another key indicator is hourly portfolio fit, which will determine </w:t>
      </w:r>
      <w:r w:rsidR="00516E6A">
        <w:t>the degree to which</w:t>
      </w:r>
      <w:r>
        <w:t xml:space="preserve"> the portfolio is exposed to </w:t>
      </w:r>
      <w:r w:rsidR="00516E6A">
        <w:t xml:space="preserve">spot </w:t>
      </w:r>
      <w:r>
        <w:t>market prices.</w:t>
      </w:r>
      <w:r w:rsidR="00A25320">
        <w:t xml:space="preserve"> </w:t>
      </w:r>
      <w:r>
        <w:t xml:space="preserve"> Figure 6 displays average hourly</w:t>
      </w:r>
      <w:r w:rsidR="00F4615E">
        <w:t xml:space="preserve"> </w:t>
      </w:r>
      <w:r>
        <w:t xml:space="preserve">generation profiles </w:t>
      </w:r>
      <w:r w:rsidR="00BD7B7D">
        <w:t xml:space="preserve">in CY 2040 </w:t>
      </w:r>
      <w:r>
        <w:t>for a representative day in the months of December (representative winter) and August (representative Summer)</w:t>
      </w:r>
      <w:r w:rsidR="00516E6A">
        <w:t>.</w:t>
      </w:r>
      <w:r w:rsidR="00A25320">
        <w:t xml:space="preserve"> </w:t>
      </w:r>
      <w:r w:rsidR="00516E6A">
        <w:t xml:space="preserve"> The loads in these months</w:t>
      </w:r>
      <w:r>
        <w:t xml:space="preserve"> </w:t>
      </w:r>
      <w:r w:rsidR="00516E6A">
        <w:t xml:space="preserve">are </w:t>
      </w:r>
      <w:r>
        <w:t>relative are relatively high and low, respectively</w:t>
      </w:r>
      <w:r w:rsidR="00516E6A">
        <w:t>, in comparison to the District’s average loads</w:t>
      </w:r>
      <w:r>
        <w:t xml:space="preserve">. </w:t>
      </w:r>
      <w:r w:rsidR="00A25320">
        <w:t xml:space="preserve"> </w:t>
      </w:r>
      <w:r>
        <w:t>Although total resource supplies from long-term contracts exceed the District’s load in August, the opposite is true during Winter.</w:t>
      </w:r>
      <w:r w:rsidR="00A25320">
        <w:t xml:space="preserve"> </w:t>
      </w:r>
      <w:r>
        <w:t xml:space="preserve"> Thus Figure </w:t>
      </w:r>
      <w:r w:rsidR="00502CEA">
        <w:t xml:space="preserve">12 </w:t>
      </w:r>
      <w:r>
        <w:t xml:space="preserve">indicates that </w:t>
      </w:r>
      <w:r w:rsidR="00BD7B7D">
        <w:t xml:space="preserve">during the winter months, </w:t>
      </w:r>
      <w:r>
        <w:t xml:space="preserve">wind, </w:t>
      </w:r>
      <w:r w:rsidR="00BD7B7D">
        <w:t>battery storage</w:t>
      </w:r>
      <w:r w:rsidR="0022689F">
        <w:rPr>
          <w:rStyle w:val="FootnoteReference"/>
        </w:rPr>
        <w:footnoteReference w:id="30"/>
      </w:r>
      <w:r w:rsidR="00BD7B7D">
        <w:t xml:space="preserve">, natural gas-fired generation, and spot market purchases play a key role in serving the evening </w:t>
      </w:r>
      <w:r w:rsidR="00BD7B7D">
        <w:lastRenderedPageBreak/>
        <w:t>ramps</w:t>
      </w:r>
      <w:r>
        <w:t xml:space="preserve">. </w:t>
      </w:r>
      <w:r w:rsidR="00516E6A">
        <w:t>In contrast</w:t>
      </w:r>
      <w:r w:rsidR="00BD7B7D">
        <w:t xml:space="preserve">, in August, </w:t>
      </w:r>
      <w:r w:rsidR="00516E6A">
        <w:t>very little</w:t>
      </w:r>
      <w:r w:rsidR="00BD7B7D">
        <w:t xml:space="preserve"> </w:t>
      </w:r>
      <w:r w:rsidR="003367E3">
        <w:t>natural gas-fired</w:t>
      </w:r>
      <w:r w:rsidR="00BD7B7D">
        <w:t xml:space="preserve"> generation</w:t>
      </w:r>
      <w:r w:rsidR="00516E6A">
        <w:t xml:space="preserve"> is needed to serve the District loads</w:t>
      </w:r>
      <w:r w:rsidR="00BD7B7D">
        <w:t xml:space="preserve">, and the District will be mostly making spot market and REC sales.  </w:t>
      </w:r>
    </w:p>
    <w:p w14:paraId="65F71242" w14:textId="4DDA4CFE" w:rsidR="00BC3BCC" w:rsidRDefault="00BC3BCC" w:rsidP="00E31E0D">
      <w:pPr>
        <w:jc w:val="center"/>
      </w:pPr>
    </w:p>
    <w:p w14:paraId="1B981D7C" w14:textId="4AC87DF2" w:rsidR="00BD7B7D" w:rsidRPr="00874A11" w:rsidRDefault="00BD7B7D" w:rsidP="00B52E15">
      <w:pPr>
        <w:spacing w:after="120"/>
        <w:jc w:val="center"/>
        <w:rPr>
          <w:b/>
          <w:bCs/>
        </w:rPr>
      </w:pPr>
      <w:r w:rsidRPr="00C855C7">
        <w:rPr>
          <w:b/>
          <w:bCs/>
        </w:rPr>
        <w:t xml:space="preserve">Figure </w:t>
      </w:r>
      <w:r w:rsidR="00502CEA">
        <w:rPr>
          <w:b/>
          <w:bCs/>
        </w:rPr>
        <w:t>12</w:t>
      </w:r>
      <w:r w:rsidRPr="00C855C7">
        <w:rPr>
          <w:b/>
          <w:bCs/>
        </w:rPr>
        <w:t xml:space="preserve">: </w:t>
      </w:r>
      <w:r w:rsidRPr="00BD7B7D">
        <w:rPr>
          <w:b/>
          <w:bCs/>
        </w:rPr>
        <w:t xml:space="preserve">Seasonal Supply Stack with Contracted Resources: </w:t>
      </w:r>
      <w:r w:rsidRPr="00BD7B7D">
        <w:rPr>
          <w:b/>
          <w:bCs/>
        </w:rPr>
        <w:br/>
        <w:t>December vs. August 2040</w:t>
      </w:r>
      <w:r w:rsidR="0068276B">
        <w:rPr>
          <w:b/>
          <w:bCs/>
        </w:rPr>
        <w:t xml:space="preserve"> (Wet Year)</w:t>
      </w:r>
      <w:r w:rsidR="00AA4AD4">
        <w:rPr>
          <w:b/>
          <w:bCs/>
        </w:rPr>
        <w:t xml:space="preserve"> </w:t>
      </w:r>
    </w:p>
    <w:tbl>
      <w:tblPr>
        <w:tblStyle w:val="TableGrid"/>
        <w:tblW w:w="0" w:type="auto"/>
        <w:tblLook w:val="04A0" w:firstRow="1" w:lastRow="0" w:firstColumn="1" w:lastColumn="0" w:noHBand="0" w:noVBand="1"/>
      </w:tblPr>
      <w:tblGrid>
        <w:gridCol w:w="9350"/>
      </w:tblGrid>
      <w:tr w:rsidR="00BD7B7D" w14:paraId="3675C2CC" w14:textId="77777777" w:rsidTr="003526BD">
        <w:tc>
          <w:tcPr>
            <w:tcW w:w="9350" w:type="dxa"/>
          </w:tcPr>
          <w:p w14:paraId="35AFDB1D" w14:textId="282C7275" w:rsidR="00BD7B7D" w:rsidRDefault="003526BD" w:rsidP="00C855C7">
            <w:pPr>
              <w:jc w:val="center"/>
            </w:pPr>
            <w:r>
              <w:rPr>
                <w:noProof/>
              </w:rPr>
              <w:t xml:space="preserve"> </w:t>
            </w:r>
            <w:r>
              <w:rPr>
                <w:noProof/>
              </w:rPr>
              <w:drawing>
                <wp:inline distT="0" distB="0" distL="0" distR="0" wp14:anchorId="13CCA62E" wp14:editId="0AC26BC5">
                  <wp:extent cx="5816600" cy="2380083"/>
                  <wp:effectExtent l="0" t="0" r="0" b="0"/>
                  <wp:docPr id="1104092454" name="Picture 1104092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092454" name=""/>
                          <pic:cNvPicPr/>
                        </pic:nvPicPr>
                        <pic:blipFill>
                          <a:blip r:embed="rId47"/>
                          <a:stretch>
                            <a:fillRect/>
                          </a:stretch>
                        </pic:blipFill>
                        <pic:spPr>
                          <a:xfrm>
                            <a:off x="0" y="0"/>
                            <a:ext cx="5821307" cy="2382009"/>
                          </a:xfrm>
                          <a:prstGeom prst="rect">
                            <a:avLst/>
                          </a:prstGeom>
                        </pic:spPr>
                      </pic:pic>
                    </a:graphicData>
                  </a:graphic>
                </wp:inline>
              </w:drawing>
            </w:r>
          </w:p>
        </w:tc>
      </w:tr>
      <w:tr w:rsidR="00BD7B7D" w14:paraId="5DE71D2C" w14:textId="77777777" w:rsidTr="003526BD">
        <w:tc>
          <w:tcPr>
            <w:tcW w:w="9350" w:type="dxa"/>
          </w:tcPr>
          <w:p w14:paraId="5EBEEF17" w14:textId="3E5DFA0D" w:rsidR="00BD7B7D" w:rsidRDefault="003526BD" w:rsidP="00C855C7">
            <w:pPr>
              <w:jc w:val="center"/>
            </w:pPr>
            <w:r>
              <w:rPr>
                <w:noProof/>
              </w:rPr>
              <w:drawing>
                <wp:inline distT="0" distB="0" distL="0" distR="0" wp14:anchorId="22F12388" wp14:editId="2147B67A">
                  <wp:extent cx="5816600" cy="2374490"/>
                  <wp:effectExtent l="0" t="0" r="0" b="635"/>
                  <wp:docPr id="1497217129" name="Picture 1497217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217129" name=""/>
                          <pic:cNvPicPr/>
                        </pic:nvPicPr>
                        <pic:blipFill>
                          <a:blip r:embed="rId48"/>
                          <a:stretch>
                            <a:fillRect/>
                          </a:stretch>
                        </pic:blipFill>
                        <pic:spPr>
                          <a:xfrm>
                            <a:off x="0" y="0"/>
                            <a:ext cx="5821424" cy="2376459"/>
                          </a:xfrm>
                          <a:prstGeom prst="rect">
                            <a:avLst/>
                          </a:prstGeom>
                        </pic:spPr>
                      </pic:pic>
                    </a:graphicData>
                  </a:graphic>
                </wp:inline>
              </w:drawing>
            </w:r>
            <w:r w:rsidDel="003526BD">
              <w:rPr>
                <w:noProof/>
              </w:rPr>
              <w:t xml:space="preserve"> </w:t>
            </w:r>
          </w:p>
        </w:tc>
      </w:tr>
    </w:tbl>
    <w:p w14:paraId="57FE208F" w14:textId="77777777" w:rsidR="00BD7B7D" w:rsidRDefault="00BD7B7D" w:rsidP="008143A0"/>
    <w:p w14:paraId="65676794" w14:textId="37699279" w:rsidR="00BD7B7D" w:rsidRDefault="0022689F" w:rsidP="008143A0">
      <w:r>
        <w:t xml:space="preserve">The Recommended portfolio allows the District to keep the </w:t>
      </w:r>
      <w:r w:rsidR="00CF0E0E">
        <w:t xml:space="preserve">average procurement </w:t>
      </w:r>
      <w:r>
        <w:t xml:space="preserve">costs at reasonable levels, which range from </w:t>
      </w:r>
      <w:r w:rsidR="00247CA2">
        <w:t>8</w:t>
      </w:r>
      <w:r w:rsidR="00A427C4">
        <w:t>.</w:t>
      </w:r>
      <w:r w:rsidR="00247CA2">
        <w:t>5</w:t>
      </w:r>
      <w:r w:rsidRPr="0022689F">
        <w:t xml:space="preserve"> ¢/kWh</w:t>
      </w:r>
      <w:r>
        <w:t xml:space="preserve"> to </w:t>
      </w:r>
      <w:r w:rsidR="00247CA2">
        <w:t>9</w:t>
      </w:r>
      <w:r>
        <w:t>.</w:t>
      </w:r>
      <w:r w:rsidR="00A427C4">
        <w:t>9</w:t>
      </w:r>
      <w:r w:rsidRPr="00874A11">
        <w:t xml:space="preserve"> ¢/kWh</w:t>
      </w:r>
      <w:r>
        <w:t xml:space="preserve"> over the planning period</w:t>
      </w:r>
      <w:r w:rsidR="004C0B6C">
        <w:t>,</w:t>
      </w:r>
      <w:r>
        <w:t xml:space="preserve"> as shown in Figure </w:t>
      </w:r>
      <w:r w:rsidR="00502CEA">
        <w:t xml:space="preserve">13 </w:t>
      </w:r>
      <w:r>
        <w:t>below.</w:t>
      </w:r>
      <w:r w:rsidR="003054CA">
        <w:t xml:space="preserve"> </w:t>
      </w:r>
      <w:r w:rsidR="00A25320">
        <w:t xml:space="preserve"> </w:t>
      </w:r>
      <w:r w:rsidR="003054CA">
        <w:t xml:space="preserve">The </w:t>
      </w:r>
      <w:r w:rsidR="00FC3F4C">
        <w:t xml:space="preserve">Net Present Value (NPV) of </w:t>
      </w:r>
      <w:r w:rsidR="004C0B6C">
        <w:t>the tot</w:t>
      </w:r>
      <w:r w:rsidR="003054CA">
        <w:t xml:space="preserve">al cost of </w:t>
      </w:r>
      <w:r w:rsidR="00FC3F4C">
        <w:t xml:space="preserve">procurement over 17 years (2024-2040) at </w:t>
      </w:r>
      <w:r w:rsidR="004C0B6C">
        <w:t xml:space="preserve">a </w:t>
      </w:r>
      <w:r w:rsidR="00FC3F4C">
        <w:t>5% discount factor for the Recommended portfolio is calculated at $</w:t>
      </w:r>
      <w:r w:rsidR="00247CA2">
        <w:t>201</w:t>
      </w:r>
      <w:r w:rsidR="00FC3F4C">
        <w:t>.</w:t>
      </w:r>
      <w:r w:rsidR="00247CA2">
        <w:t>5</w:t>
      </w:r>
      <w:r w:rsidR="00FC3F4C">
        <w:t xml:space="preserve"> million</w:t>
      </w:r>
      <w:r w:rsidR="001023FD">
        <w:t>.</w:t>
      </w:r>
    </w:p>
    <w:p w14:paraId="2B6C7764" w14:textId="77777777" w:rsidR="0022689F" w:rsidRDefault="0022689F" w:rsidP="008143A0"/>
    <w:p w14:paraId="03232044" w14:textId="77777777" w:rsidR="00E14A22" w:rsidRDefault="00E14A22">
      <w:pPr>
        <w:spacing w:after="200" w:line="276" w:lineRule="auto"/>
        <w:rPr>
          <w:b/>
          <w:bCs/>
        </w:rPr>
      </w:pPr>
      <w:r>
        <w:rPr>
          <w:b/>
          <w:bCs/>
        </w:rPr>
        <w:br w:type="page"/>
      </w:r>
    </w:p>
    <w:p w14:paraId="20A07B82" w14:textId="44F12C90" w:rsidR="00CF0E0E" w:rsidRDefault="0022689F" w:rsidP="00874A11">
      <w:pPr>
        <w:jc w:val="center"/>
      </w:pPr>
      <w:r w:rsidRPr="00874A11">
        <w:rPr>
          <w:b/>
          <w:bCs/>
        </w:rPr>
        <w:lastRenderedPageBreak/>
        <w:t xml:space="preserve">Figure </w:t>
      </w:r>
      <w:r w:rsidR="00502CEA">
        <w:rPr>
          <w:b/>
          <w:bCs/>
        </w:rPr>
        <w:t>13</w:t>
      </w:r>
      <w:r w:rsidRPr="00874A11">
        <w:rPr>
          <w:b/>
          <w:bCs/>
        </w:rPr>
        <w:t xml:space="preserve">: </w:t>
      </w:r>
      <w:r w:rsidR="00CF0E0E" w:rsidRPr="00874A11">
        <w:rPr>
          <w:b/>
          <w:bCs/>
        </w:rPr>
        <w:t>District Annual Average Procurement Costs ($/kWh): 2024-2040</w:t>
      </w:r>
    </w:p>
    <w:p w14:paraId="1CD1F92A" w14:textId="1F239063" w:rsidR="00CF0E0E" w:rsidRPr="001969EF" w:rsidRDefault="00337AC2" w:rsidP="00B52E15">
      <w:pPr>
        <w:spacing w:after="120"/>
      </w:pPr>
      <w:r>
        <w:rPr>
          <w:noProof/>
        </w:rPr>
        <w:drawing>
          <wp:inline distT="0" distB="0" distL="0" distR="0" wp14:anchorId="47417766" wp14:editId="1BC57597">
            <wp:extent cx="5943600" cy="2461260"/>
            <wp:effectExtent l="0" t="0" r="0" b="2540"/>
            <wp:docPr id="1311941047" name="Picture 131194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941047" name=""/>
                    <pic:cNvPicPr/>
                  </pic:nvPicPr>
                  <pic:blipFill>
                    <a:blip r:embed="rId49"/>
                    <a:stretch>
                      <a:fillRect/>
                    </a:stretch>
                  </pic:blipFill>
                  <pic:spPr>
                    <a:xfrm>
                      <a:off x="0" y="0"/>
                      <a:ext cx="5943600" cy="2461260"/>
                    </a:xfrm>
                    <a:prstGeom prst="rect">
                      <a:avLst/>
                    </a:prstGeom>
                  </pic:spPr>
                </pic:pic>
              </a:graphicData>
            </a:graphic>
          </wp:inline>
        </w:drawing>
      </w:r>
    </w:p>
    <w:p w14:paraId="090FCAC5" w14:textId="1F2710AD" w:rsidR="00CF0E0E" w:rsidRDefault="00CF0E0E" w:rsidP="00A25320">
      <w:pPr>
        <w:spacing w:before="180"/>
      </w:pPr>
      <w:r>
        <w:t xml:space="preserve">Consistent with </w:t>
      </w:r>
      <w:r w:rsidR="003054CA">
        <w:t>the IRP methodology Step 4, we developed four (4) additional portfolios. The description of these portfolios</w:t>
      </w:r>
      <w:r w:rsidR="004C0B6C">
        <w:t>,</w:t>
      </w:r>
      <w:r w:rsidR="003054CA">
        <w:t xml:space="preserve"> as well as</w:t>
      </w:r>
      <w:r w:rsidR="00815F60">
        <w:t xml:space="preserve"> the overall cost of procurement over the planning period</w:t>
      </w:r>
      <w:r w:rsidR="00755986">
        <w:t>,</w:t>
      </w:r>
      <w:r w:rsidR="00815F60">
        <w:t xml:space="preserve"> are summarized in </w:t>
      </w:r>
      <w:proofErr w:type="gramStart"/>
      <w:r w:rsidR="00815F60">
        <w:t xml:space="preserve">Table </w:t>
      </w:r>
      <w:r w:rsidR="003054CA">
        <w:t xml:space="preserve"> </w:t>
      </w:r>
      <w:r w:rsidR="005D5D9F">
        <w:t>8</w:t>
      </w:r>
      <w:proofErr w:type="gramEnd"/>
      <w:r w:rsidR="00815F60">
        <w:t>.</w:t>
      </w:r>
    </w:p>
    <w:p w14:paraId="582190CD" w14:textId="5E612466" w:rsidR="00815F60" w:rsidRDefault="00815F60" w:rsidP="00A25320">
      <w:pPr>
        <w:spacing w:before="240" w:after="120"/>
        <w:jc w:val="center"/>
        <w:rPr>
          <w:b/>
          <w:bCs/>
        </w:rPr>
      </w:pPr>
      <w:r w:rsidRPr="00874A11">
        <w:rPr>
          <w:b/>
          <w:bCs/>
        </w:rPr>
        <w:t xml:space="preserve">Table </w:t>
      </w:r>
      <w:r w:rsidR="005D5D9F">
        <w:rPr>
          <w:b/>
          <w:bCs/>
        </w:rPr>
        <w:t>8</w:t>
      </w:r>
      <w:r w:rsidRPr="00874A11">
        <w:rPr>
          <w:b/>
          <w:bCs/>
        </w:rPr>
        <w:t xml:space="preserve">: Scope and Cost </w:t>
      </w:r>
      <w:r>
        <w:rPr>
          <w:b/>
          <w:bCs/>
        </w:rPr>
        <w:t xml:space="preserve">(M$) </w:t>
      </w:r>
      <w:r w:rsidRPr="00874A11">
        <w:rPr>
          <w:b/>
          <w:bCs/>
        </w:rPr>
        <w:t>Performance of Recommended Portfolio Relative to Alternative Portfolios</w:t>
      </w:r>
    </w:p>
    <w:tbl>
      <w:tblPr>
        <w:tblW w:w="9184" w:type="dxa"/>
        <w:tblLook w:val="04A0" w:firstRow="1" w:lastRow="0" w:firstColumn="1" w:lastColumn="0" w:noHBand="0" w:noVBand="1"/>
      </w:tblPr>
      <w:tblGrid>
        <w:gridCol w:w="3414"/>
        <w:gridCol w:w="4451"/>
        <w:gridCol w:w="1319"/>
      </w:tblGrid>
      <w:tr w:rsidR="00815F60" w:rsidRPr="0028259A" w14:paraId="4243FAE4" w14:textId="77777777" w:rsidTr="00F5170C">
        <w:trPr>
          <w:trHeight w:val="233"/>
        </w:trPr>
        <w:tc>
          <w:tcPr>
            <w:tcW w:w="34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C579EC" w14:textId="77777777" w:rsidR="00815F60" w:rsidRPr="0028259A" w:rsidRDefault="00815F60">
            <w:pPr>
              <w:rPr>
                <w:b/>
                <w:bCs/>
                <w:color w:val="000000"/>
                <w:sz w:val="22"/>
                <w:szCs w:val="22"/>
              </w:rPr>
            </w:pPr>
            <w:r w:rsidRPr="0028259A">
              <w:rPr>
                <w:b/>
                <w:bCs/>
                <w:color w:val="000000"/>
                <w:sz w:val="22"/>
                <w:szCs w:val="22"/>
              </w:rPr>
              <w:t>Portfolio Name</w:t>
            </w:r>
          </w:p>
        </w:tc>
        <w:tc>
          <w:tcPr>
            <w:tcW w:w="4451" w:type="dxa"/>
            <w:tcBorders>
              <w:top w:val="single" w:sz="4" w:space="0" w:color="auto"/>
              <w:left w:val="nil"/>
              <w:bottom w:val="single" w:sz="4" w:space="0" w:color="auto"/>
              <w:right w:val="single" w:sz="4" w:space="0" w:color="auto"/>
            </w:tcBorders>
            <w:shd w:val="clear" w:color="auto" w:fill="auto"/>
            <w:vAlign w:val="center"/>
            <w:hideMark/>
          </w:tcPr>
          <w:p w14:paraId="6DE3393C" w14:textId="77777777" w:rsidR="00815F60" w:rsidRPr="0028259A" w:rsidRDefault="00815F60">
            <w:pPr>
              <w:rPr>
                <w:b/>
                <w:bCs/>
                <w:color w:val="000000"/>
                <w:sz w:val="22"/>
                <w:szCs w:val="22"/>
              </w:rPr>
            </w:pPr>
            <w:r w:rsidRPr="0028259A">
              <w:rPr>
                <w:b/>
                <w:bCs/>
                <w:color w:val="000000"/>
                <w:sz w:val="22"/>
                <w:szCs w:val="22"/>
              </w:rPr>
              <w:t>Portfolio Description</w:t>
            </w:r>
          </w:p>
        </w:tc>
        <w:tc>
          <w:tcPr>
            <w:tcW w:w="1319" w:type="dxa"/>
            <w:tcBorders>
              <w:top w:val="single" w:sz="4" w:space="0" w:color="auto"/>
              <w:left w:val="nil"/>
              <w:bottom w:val="single" w:sz="4" w:space="0" w:color="auto"/>
              <w:right w:val="single" w:sz="4" w:space="0" w:color="auto"/>
            </w:tcBorders>
            <w:shd w:val="clear" w:color="auto" w:fill="auto"/>
            <w:vAlign w:val="center"/>
            <w:hideMark/>
          </w:tcPr>
          <w:p w14:paraId="41179F38" w14:textId="77777777" w:rsidR="00815F60" w:rsidRPr="0028259A" w:rsidRDefault="00815F60">
            <w:pPr>
              <w:rPr>
                <w:b/>
                <w:bCs/>
                <w:color w:val="000000"/>
                <w:sz w:val="22"/>
                <w:szCs w:val="22"/>
              </w:rPr>
            </w:pPr>
            <w:r w:rsidRPr="0028259A">
              <w:rPr>
                <w:b/>
                <w:bCs/>
                <w:color w:val="000000"/>
                <w:sz w:val="22"/>
                <w:szCs w:val="22"/>
              </w:rPr>
              <w:t>NPV (M$)</w:t>
            </w:r>
          </w:p>
        </w:tc>
      </w:tr>
      <w:tr w:rsidR="003367E3" w:rsidRPr="0028259A" w14:paraId="0EEC8414" w14:textId="77777777" w:rsidTr="00F5170C">
        <w:trPr>
          <w:trHeight w:val="233"/>
        </w:trPr>
        <w:tc>
          <w:tcPr>
            <w:tcW w:w="3414" w:type="dxa"/>
            <w:tcBorders>
              <w:top w:val="nil"/>
              <w:left w:val="single" w:sz="4" w:space="0" w:color="auto"/>
              <w:bottom w:val="single" w:sz="4" w:space="0" w:color="auto"/>
              <w:right w:val="single" w:sz="4" w:space="0" w:color="auto"/>
            </w:tcBorders>
            <w:shd w:val="clear" w:color="000000" w:fill="C6E0B4"/>
            <w:vAlign w:val="center"/>
            <w:hideMark/>
          </w:tcPr>
          <w:p w14:paraId="44FCC49C" w14:textId="77777777" w:rsidR="003367E3" w:rsidRPr="0028259A" w:rsidRDefault="003367E3" w:rsidP="003367E3">
            <w:pPr>
              <w:rPr>
                <w:color w:val="000000"/>
                <w:sz w:val="22"/>
                <w:szCs w:val="22"/>
              </w:rPr>
            </w:pPr>
            <w:r w:rsidRPr="0028259A">
              <w:rPr>
                <w:color w:val="000000"/>
                <w:sz w:val="22"/>
                <w:szCs w:val="22"/>
              </w:rPr>
              <w:t>Recommended</w:t>
            </w:r>
          </w:p>
        </w:tc>
        <w:tc>
          <w:tcPr>
            <w:tcW w:w="4451" w:type="dxa"/>
            <w:tcBorders>
              <w:top w:val="nil"/>
              <w:left w:val="nil"/>
              <w:bottom w:val="single" w:sz="4" w:space="0" w:color="auto"/>
              <w:right w:val="single" w:sz="4" w:space="0" w:color="auto"/>
            </w:tcBorders>
            <w:shd w:val="clear" w:color="000000" w:fill="C6E0B4"/>
            <w:vAlign w:val="center"/>
            <w:hideMark/>
          </w:tcPr>
          <w:p w14:paraId="300F6EF6" w14:textId="77777777" w:rsidR="003367E3" w:rsidRPr="0028259A" w:rsidRDefault="003367E3" w:rsidP="003367E3">
            <w:pPr>
              <w:rPr>
                <w:color w:val="000000"/>
                <w:sz w:val="22"/>
                <w:szCs w:val="22"/>
              </w:rPr>
            </w:pPr>
            <w:r w:rsidRPr="0028259A">
              <w:rPr>
                <w:color w:val="000000"/>
                <w:sz w:val="22"/>
                <w:szCs w:val="22"/>
              </w:rPr>
              <w:t>Balanced Portfolio</w:t>
            </w:r>
          </w:p>
        </w:tc>
        <w:tc>
          <w:tcPr>
            <w:tcW w:w="1319" w:type="dxa"/>
            <w:tcBorders>
              <w:top w:val="nil"/>
              <w:left w:val="nil"/>
              <w:bottom w:val="single" w:sz="4" w:space="0" w:color="auto"/>
              <w:right w:val="single" w:sz="4" w:space="0" w:color="auto"/>
            </w:tcBorders>
            <w:shd w:val="clear" w:color="000000" w:fill="C6E0B4"/>
            <w:vAlign w:val="center"/>
            <w:hideMark/>
          </w:tcPr>
          <w:p w14:paraId="5B20A87C" w14:textId="541A9D3E" w:rsidR="003367E3" w:rsidRPr="00004883" w:rsidRDefault="003367E3" w:rsidP="000F0F73">
            <w:pPr>
              <w:jc w:val="center"/>
              <w:rPr>
                <w:color w:val="000000"/>
                <w:sz w:val="22"/>
                <w:szCs w:val="22"/>
              </w:rPr>
            </w:pPr>
            <w:r w:rsidRPr="000F0F73">
              <w:rPr>
                <w:color w:val="000000"/>
                <w:sz w:val="22"/>
                <w:szCs w:val="22"/>
              </w:rPr>
              <w:t xml:space="preserve">$201.5 </w:t>
            </w:r>
          </w:p>
        </w:tc>
      </w:tr>
      <w:tr w:rsidR="003367E3" w:rsidRPr="0028259A" w14:paraId="17AAC3F8" w14:textId="77777777" w:rsidTr="00F5170C">
        <w:trPr>
          <w:trHeight w:val="468"/>
        </w:trPr>
        <w:tc>
          <w:tcPr>
            <w:tcW w:w="3414" w:type="dxa"/>
            <w:tcBorders>
              <w:top w:val="nil"/>
              <w:left w:val="single" w:sz="4" w:space="0" w:color="auto"/>
              <w:bottom w:val="single" w:sz="4" w:space="0" w:color="auto"/>
              <w:right w:val="single" w:sz="4" w:space="0" w:color="auto"/>
            </w:tcBorders>
            <w:shd w:val="clear" w:color="auto" w:fill="auto"/>
            <w:vAlign w:val="center"/>
            <w:hideMark/>
          </w:tcPr>
          <w:p w14:paraId="22939D61" w14:textId="05F5998D" w:rsidR="003367E3" w:rsidRPr="0028259A" w:rsidRDefault="003367E3" w:rsidP="003367E3">
            <w:pPr>
              <w:rPr>
                <w:color w:val="000000"/>
                <w:sz w:val="22"/>
                <w:szCs w:val="22"/>
              </w:rPr>
            </w:pPr>
            <w:r w:rsidRPr="0028259A">
              <w:rPr>
                <w:color w:val="000000"/>
                <w:sz w:val="22"/>
                <w:szCs w:val="22"/>
              </w:rPr>
              <w:t>No New PPA (NNP)</w:t>
            </w:r>
          </w:p>
        </w:tc>
        <w:tc>
          <w:tcPr>
            <w:tcW w:w="4451" w:type="dxa"/>
            <w:tcBorders>
              <w:top w:val="nil"/>
              <w:left w:val="nil"/>
              <w:bottom w:val="single" w:sz="4" w:space="0" w:color="auto"/>
              <w:right w:val="single" w:sz="4" w:space="0" w:color="auto"/>
            </w:tcBorders>
            <w:shd w:val="clear" w:color="auto" w:fill="auto"/>
            <w:vAlign w:val="center"/>
            <w:hideMark/>
          </w:tcPr>
          <w:p w14:paraId="140948DD" w14:textId="76CCED58" w:rsidR="003367E3" w:rsidRPr="0028259A" w:rsidRDefault="003367E3" w:rsidP="003367E3">
            <w:pPr>
              <w:rPr>
                <w:color w:val="000000"/>
                <w:sz w:val="22"/>
                <w:szCs w:val="22"/>
              </w:rPr>
            </w:pPr>
            <w:r w:rsidRPr="0028259A">
              <w:rPr>
                <w:color w:val="000000"/>
                <w:sz w:val="22"/>
                <w:szCs w:val="22"/>
              </w:rPr>
              <w:t xml:space="preserve">No new contracted resources, and rely </w:t>
            </w:r>
            <w:r>
              <w:rPr>
                <w:color w:val="000000"/>
                <w:sz w:val="22"/>
                <w:szCs w:val="22"/>
              </w:rPr>
              <w:t>solely</w:t>
            </w:r>
            <w:r w:rsidRPr="0028259A">
              <w:rPr>
                <w:color w:val="000000"/>
                <w:sz w:val="22"/>
                <w:szCs w:val="22"/>
              </w:rPr>
              <w:t xml:space="preserve"> on market purchases</w:t>
            </w:r>
            <w:r>
              <w:rPr>
                <w:color w:val="000000"/>
                <w:sz w:val="22"/>
                <w:szCs w:val="22"/>
              </w:rPr>
              <w:t xml:space="preserve"> for incremental needs</w:t>
            </w:r>
          </w:p>
        </w:tc>
        <w:tc>
          <w:tcPr>
            <w:tcW w:w="1319" w:type="dxa"/>
            <w:tcBorders>
              <w:top w:val="nil"/>
              <w:left w:val="nil"/>
              <w:bottom w:val="single" w:sz="4" w:space="0" w:color="auto"/>
              <w:right w:val="single" w:sz="4" w:space="0" w:color="auto"/>
            </w:tcBorders>
            <w:shd w:val="clear" w:color="auto" w:fill="auto"/>
            <w:vAlign w:val="center"/>
            <w:hideMark/>
          </w:tcPr>
          <w:p w14:paraId="433D09B9" w14:textId="2EBA4979" w:rsidR="003367E3" w:rsidRPr="00004883" w:rsidRDefault="003367E3" w:rsidP="000F0F73">
            <w:pPr>
              <w:jc w:val="center"/>
              <w:rPr>
                <w:color w:val="000000"/>
                <w:sz w:val="22"/>
                <w:szCs w:val="22"/>
              </w:rPr>
            </w:pPr>
            <w:r w:rsidRPr="000F0F73">
              <w:rPr>
                <w:color w:val="000000"/>
                <w:sz w:val="22"/>
                <w:szCs w:val="22"/>
              </w:rPr>
              <w:t xml:space="preserve">$229.0 </w:t>
            </w:r>
          </w:p>
        </w:tc>
      </w:tr>
      <w:tr w:rsidR="003367E3" w:rsidRPr="0028259A" w14:paraId="66DA0D9A" w14:textId="77777777" w:rsidTr="00F5170C">
        <w:trPr>
          <w:trHeight w:val="940"/>
        </w:trPr>
        <w:tc>
          <w:tcPr>
            <w:tcW w:w="3414" w:type="dxa"/>
            <w:tcBorders>
              <w:top w:val="nil"/>
              <w:left w:val="single" w:sz="4" w:space="0" w:color="auto"/>
              <w:bottom w:val="single" w:sz="4" w:space="0" w:color="auto"/>
              <w:right w:val="single" w:sz="4" w:space="0" w:color="auto"/>
            </w:tcBorders>
            <w:shd w:val="clear" w:color="auto" w:fill="auto"/>
            <w:vAlign w:val="center"/>
            <w:hideMark/>
          </w:tcPr>
          <w:p w14:paraId="0D2CB8B2" w14:textId="77777777" w:rsidR="003367E3" w:rsidRPr="0028259A" w:rsidRDefault="003367E3" w:rsidP="003367E3">
            <w:pPr>
              <w:rPr>
                <w:color w:val="000000"/>
                <w:sz w:val="22"/>
                <w:szCs w:val="22"/>
              </w:rPr>
            </w:pPr>
            <w:r w:rsidRPr="0028259A">
              <w:rPr>
                <w:color w:val="000000"/>
                <w:sz w:val="22"/>
                <w:szCs w:val="22"/>
              </w:rPr>
              <w:t>No CVP, No Stampede</w:t>
            </w:r>
          </w:p>
        </w:tc>
        <w:tc>
          <w:tcPr>
            <w:tcW w:w="4451" w:type="dxa"/>
            <w:tcBorders>
              <w:top w:val="nil"/>
              <w:left w:val="nil"/>
              <w:bottom w:val="single" w:sz="4" w:space="0" w:color="auto"/>
              <w:right w:val="single" w:sz="4" w:space="0" w:color="auto"/>
            </w:tcBorders>
            <w:shd w:val="clear" w:color="auto" w:fill="auto"/>
            <w:vAlign w:val="center"/>
            <w:hideMark/>
          </w:tcPr>
          <w:p w14:paraId="07B62F9A" w14:textId="45AB007D" w:rsidR="003367E3" w:rsidRPr="0028259A" w:rsidRDefault="003367E3" w:rsidP="003367E3">
            <w:pPr>
              <w:rPr>
                <w:color w:val="000000"/>
                <w:sz w:val="22"/>
                <w:szCs w:val="22"/>
              </w:rPr>
            </w:pPr>
            <w:r w:rsidRPr="0028259A">
              <w:rPr>
                <w:color w:val="000000"/>
                <w:sz w:val="22"/>
                <w:szCs w:val="22"/>
              </w:rPr>
              <w:t>No CVP, No Stampede, Add 4MW each of new utility-scale solar &amp; 4-hour storage, 1MW of TDPUD storage and 2MW of community solar</w:t>
            </w:r>
          </w:p>
        </w:tc>
        <w:tc>
          <w:tcPr>
            <w:tcW w:w="1319" w:type="dxa"/>
            <w:tcBorders>
              <w:top w:val="nil"/>
              <w:left w:val="nil"/>
              <w:bottom w:val="single" w:sz="4" w:space="0" w:color="auto"/>
              <w:right w:val="single" w:sz="4" w:space="0" w:color="auto"/>
            </w:tcBorders>
            <w:shd w:val="clear" w:color="auto" w:fill="auto"/>
            <w:vAlign w:val="center"/>
            <w:hideMark/>
          </w:tcPr>
          <w:p w14:paraId="734CDD7E" w14:textId="3BA16E37" w:rsidR="003367E3" w:rsidRPr="00004883" w:rsidRDefault="003367E3" w:rsidP="000F0F73">
            <w:pPr>
              <w:jc w:val="center"/>
              <w:rPr>
                <w:color w:val="000000"/>
                <w:sz w:val="22"/>
                <w:szCs w:val="22"/>
              </w:rPr>
            </w:pPr>
            <w:r w:rsidRPr="000F0F73">
              <w:rPr>
                <w:color w:val="000000"/>
                <w:sz w:val="22"/>
                <w:szCs w:val="22"/>
              </w:rPr>
              <w:t xml:space="preserve">$210.8 </w:t>
            </w:r>
          </w:p>
        </w:tc>
      </w:tr>
      <w:tr w:rsidR="003367E3" w:rsidRPr="0028259A" w14:paraId="08FE825C" w14:textId="77777777" w:rsidTr="00F5170C">
        <w:trPr>
          <w:trHeight w:val="468"/>
        </w:trPr>
        <w:tc>
          <w:tcPr>
            <w:tcW w:w="3414" w:type="dxa"/>
            <w:tcBorders>
              <w:top w:val="nil"/>
              <w:left w:val="single" w:sz="4" w:space="0" w:color="auto"/>
              <w:bottom w:val="single" w:sz="4" w:space="0" w:color="auto"/>
              <w:right w:val="single" w:sz="4" w:space="0" w:color="auto"/>
            </w:tcBorders>
            <w:shd w:val="clear" w:color="auto" w:fill="auto"/>
            <w:vAlign w:val="center"/>
            <w:hideMark/>
          </w:tcPr>
          <w:p w14:paraId="5648BD43" w14:textId="77777777" w:rsidR="003367E3" w:rsidRPr="0028259A" w:rsidRDefault="003367E3" w:rsidP="003367E3">
            <w:pPr>
              <w:rPr>
                <w:color w:val="000000"/>
                <w:sz w:val="22"/>
                <w:szCs w:val="22"/>
              </w:rPr>
            </w:pPr>
            <w:r w:rsidRPr="0028259A">
              <w:rPr>
                <w:color w:val="000000"/>
                <w:sz w:val="22"/>
                <w:szCs w:val="22"/>
              </w:rPr>
              <w:t>No Storage, High Geothermal</w:t>
            </w:r>
          </w:p>
        </w:tc>
        <w:tc>
          <w:tcPr>
            <w:tcW w:w="4451" w:type="dxa"/>
            <w:tcBorders>
              <w:top w:val="nil"/>
              <w:left w:val="nil"/>
              <w:bottom w:val="single" w:sz="4" w:space="0" w:color="auto"/>
              <w:right w:val="single" w:sz="4" w:space="0" w:color="auto"/>
            </w:tcBorders>
            <w:shd w:val="clear" w:color="auto" w:fill="auto"/>
            <w:vAlign w:val="center"/>
            <w:hideMark/>
          </w:tcPr>
          <w:p w14:paraId="3F9197E5" w14:textId="77777777" w:rsidR="003367E3" w:rsidRPr="0028259A" w:rsidRDefault="003367E3" w:rsidP="003367E3">
            <w:pPr>
              <w:rPr>
                <w:color w:val="000000"/>
                <w:sz w:val="22"/>
                <w:szCs w:val="22"/>
              </w:rPr>
            </w:pPr>
            <w:r w:rsidRPr="0028259A">
              <w:rPr>
                <w:color w:val="000000"/>
                <w:sz w:val="22"/>
                <w:szCs w:val="22"/>
              </w:rPr>
              <w:t>No battery storage (4-hr or 8-hr) and 4.5MW more geothermal resource</w:t>
            </w:r>
          </w:p>
        </w:tc>
        <w:tc>
          <w:tcPr>
            <w:tcW w:w="1319" w:type="dxa"/>
            <w:tcBorders>
              <w:top w:val="nil"/>
              <w:left w:val="nil"/>
              <w:bottom w:val="single" w:sz="4" w:space="0" w:color="auto"/>
              <w:right w:val="single" w:sz="4" w:space="0" w:color="auto"/>
            </w:tcBorders>
            <w:shd w:val="clear" w:color="auto" w:fill="auto"/>
            <w:vAlign w:val="center"/>
            <w:hideMark/>
          </w:tcPr>
          <w:p w14:paraId="4F7CFCE3" w14:textId="3B0E03DB" w:rsidR="003367E3" w:rsidRPr="00004883" w:rsidRDefault="003367E3" w:rsidP="000F0F73">
            <w:pPr>
              <w:jc w:val="center"/>
              <w:rPr>
                <w:color w:val="000000"/>
                <w:sz w:val="22"/>
                <w:szCs w:val="22"/>
              </w:rPr>
            </w:pPr>
            <w:r w:rsidRPr="000F0F73">
              <w:rPr>
                <w:color w:val="000000"/>
                <w:sz w:val="22"/>
                <w:szCs w:val="22"/>
              </w:rPr>
              <w:t xml:space="preserve">$192.6 </w:t>
            </w:r>
          </w:p>
        </w:tc>
      </w:tr>
      <w:tr w:rsidR="003367E3" w:rsidRPr="0028259A" w14:paraId="653C87D3" w14:textId="77777777" w:rsidTr="00F5170C">
        <w:trPr>
          <w:trHeight w:val="940"/>
        </w:trPr>
        <w:tc>
          <w:tcPr>
            <w:tcW w:w="3414" w:type="dxa"/>
            <w:tcBorders>
              <w:top w:val="nil"/>
              <w:left w:val="single" w:sz="4" w:space="0" w:color="auto"/>
              <w:bottom w:val="single" w:sz="4" w:space="0" w:color="auto"/>
              <w:right w:val="single" w:sz="4" w:space="0" w:color="auto"/>
            </w:tcBorders>
            <w:shd w:val="clear" w:color="auto" w:fill="auto"/>
            <w:vAlign w:val="center"/>
            <w:hideMark/>
          </w:tcPr>
          <w:p w14:paraId="26DBBA7F" w14:textId="77777777" w:rsidR="003367E3" w:rsidRPr="0028259A" w:rsidRDefault="003367E3" w:rsidP="003367E3">
            <w:pPr>
              <w:rPr>
                <w:color w:val="000000"/>
                <w:sz w:val="22"/>
                <w:szCs w:val="22"/>
              </w:rPr>
            </w:pPr>
            <w:r w:rsidRPr="0028259A">
              <w:rPr>
                <w:color w:val="000000"/>
                <w:sz w:val="22"/>
                <w:szCs w:val="22"/>
              </w:rPr>
              <w:t>High Internal Gen</w:t>
            </w:r>
          </w:p>
        </w:tc>
        <w:tc>
          <w:tcPr>
            <w:tcW w:w="4451" w:type="dxa"/>
            <w:tcBorders>
              <w:top w:val="nil"/>
              <w:left w:val="nil"/>
              <w:bottom w:val="single" w:sz="4" w:space="0" w:color="auto"/>
              <w:right w:val="single" w:sz="4" w:space="0" w:color="auto"/>
            </w:tcBorders>
            <w:shd w:val="clear" w:color="auto" w:fill="auto"/>
            <w:vAlign w:val="center"/>
            <w:hideMark/>
          </w:tcPr>
          <w:p w14:paraId="568E6105" w14:textId="4C3E8FEE" w:rsidR="003367E3" w:rsidRPr="0028259A" w:rsidRDefault="003367E3" w:rsidP="003367E3">
            <w:pPr>
              <w:rPr>
                <w:color w:val="000000"/>
                <w:sz w:val="22"/>
                <w:szCs w:val="22"/>
              </w:rPr>
            </w:pPr>
            <w:r w:rsidRPr="0028259A">
              <w:rPr>
                <w:color w:val="000000"/>
                <w:sz w:val="22"/>
                <w:szCs w:val="22"/>
              </w:rPr>
              <w:t>Increase community solar by 10 MW, Internal 4-hour battery storage by 3MW, Utility-scale 4-hour battery storage by 2.</w:t>
            </w:r>
            <w:proofErr w:type="gramStart"/>
            <w:r w:rsidRPr="0028259A">
              <w:rPr>
                <w:color w:val="000000"/>
                <w:sz w:val="22"/>
                <w:szCs w:val="22"/>
              </w:rPr>
              <w:t>5MW, and</w:t>
            </w:r>
            <w:proofErr w:type="gramEnd"/>
            <w:r w:rsidRPr="0028259A">
              <w:rPr>
                <w:color w:val="000000"/>
                <w:sz w:val="22"/>
                <w:szCs w:val="22"/>
              </w:rPr>
              <w:t xml:space="preserve"> reduce geothermal by 3MW.</w:t>
            </w:r>
          </w:p>
        </w:tc>
        <w:tc>
          <w:tcPr>
            <w:tcW w:w="1319" w:type="dxa"/>
            <w:tcBorders>
              <w:top w:val="nil"/>
              <w:left w:val="nil"/>
              <w:bottom w:val="single" w:sz="4" w:space="0" w:color="auto"/>
              <w:right w:val="single" w:sz="4" w:space="0" w:color="auto"/>
            </w:tcBorders>
            <w:shd w:val="clear" w:color="auto" w:fill="auto"/>
            <w:vAlign w:val="center"/>
            <w:hideMark/>
          </w:tcPr>
          <w:p w14:paraId="2F2CD037" w14:textId="23B6B42A" w:rsidR="003367E3" w:rsidRPr="00004883" w:rsidRDefault="003367E3" w:rsidP="000F0F73">
            <w:pPr>
              <w:jc w:val="center"/>
              <w:rPr>
                <w:color w:val="000000"/>
                <w:sz w:val="22"/>
                <w:szCs w:val="22"/>
              </w:rPr>
            </w:pPr>
            <w:r w:rsidRPr="000F0F73">
              <w:rPr>
                <w:color w:val="000000"/>
                <w:sz w:val="22"/>
                <w:szCs w:val="22"/>
              </w:rPr>
              <w:t xml:space="preserve">$217.6 </w:t>
            </w:r>
          </w:p>
        </w:tc>
      </w:tr>
    </w:tbl>
    <w:p w14:paraId="65CC87D9" w14:textId="77777777" w:rsidR="00815F60" w:rsidRPr="00815F60" w:rsidRDefault="00815F60" w:rsidP="00874A11">
      <w:pPr>
        <w:jc w:val="center"/>
        <w:rPr>
          <w:b/>
          <w:bCs/>
        </w:rPr>
      </w:pPr>
    </w:p>
    <w:p w14:paraId="5D81A7BF" w14:textId="396A3FDD" w:rsidR="00810CE7" w:rsidRDefault="00815F60" w:rsidP="00CF0E0E">
      <w:r w:rsidRPr="00815F60">
        <w:t xml:space="preserve">The recommended portfolio </w:t>
      </w:r>
      <w:r w:rsidR="00516E6A">
        <w:t xml:space="preserve">is </w:t>
      </w:r>
      <w:r w:rsidRPr="00815F60">
        <w:t>slightly less cost-effective than the portfolio with no storage and high geothermal.</w:t>
      </w:r>
      <w:r w:rsidR="00A25320">
        <w:t xml:space="preserve"> </w:t>
      </w:r>
      <w:r w:rsidRPr="00815F60">
        <w:t xml:space="preserve"> However, TDPUD’s ability to contract with high levels of geothermal is uncertain, and losing the storage paired with solar increases congestion exposure.</w:t>
      </w:r>
      <w:r w:rsidR="00A25320">
        <w:t xml:space="preserve"> </w:t>
      </w:r>
      <w:r w:rsidRPr="00815F60">
        <w:t xml:space="preserve"> The No New PPA (NNP) portfolio that includes no new resources is the least cost-effective</w:t>
      </w:r>
      <w:r w:rsidR="00004883">
        <w:t xml:space="preserve"> </w:t>
      </w:r>
      <w:r w:rsidR="00004883" w:rsidRPr="00004883">
        <w:t>at $</w:t>
      </w:r>
      <w:r w:rsidR="00004883">
        <w:t>2</w:t>
      </w:r>
      <w:r w:rsidR="00BC5F64">
        <w:t>29</w:t>
      </w:r>
      <w:r w:rsidR="00004883" w:rsidRPr="00004883">
        <w:t xml:space="preserve"> million</w:t>
      </w:r>
      <w:r w:rsidR="00004883">
        <w:t xml:space="preserve"> NPV</w:t>
      </w:r>
      <w:r w:rsidRPr="00815F60">
        <w:t xml:space="preserve">. </w:t>
      </w:r>
      <w:r w:rsidR="00A25320">
        <w:t xml:space="preserve"> </w:t>
      </w:r>
      <w:r w:rsidR="00810CE7">
        <w:t>This portfolio also fails to meet the PRM, RPS</w:t>
      </w:r>
      <w:r w:rsidR="004C0B6C">
        <w:t>,</w:t>
      </w:r>
      <w:r w:rsidR="00810CE7">
        <w:t xml:space="preserve"> and GHG-free goals</w:t>
      </w:r>
      <w:r w:rsidR="004C0B6C">
        <w:t>,</w:t>
      </w:r>
      <w:r w:rsidR="00810CE7">
        <w:t xml:space="preserve"> as shown in Table </w:t>
      </w:r>
      <w:r w:rsidR="005D5D9F">
        <w:t>9</w:t>
      </w:r>
      <w:r w:rsidR="004C0B6C">
        <w:t>,</w:t>
      </w:r>
      <w:r w:rsidR="00810CE7">
        <w:t xml:space="preserve"> compared to the Recommended portfolio that mostly meets these criteria (Table 7). </w:t>
      </w:r>
      <w:r w:rsidR="00A25320">
        <w:t xml:space="preserve"> </w:t>
      </w:r>
      <w:r w:rsidR="00810CE7">
        <w:t xml:space="preserve">The NNP portfolio requires the District to purchase RA and RECs from the market </w:t>
      </w:r>
      <w:r w:rsidR="00AA4AD4">
        <w:t xml:space="preserve">during all years </w:t>
      </w:r>
      <w:r w:rsidR="00810CE7">
        <w:t>to meet these criteria.</w:t>
      </w:r>
    </w:p>
    <w:p w14:paraId="5AA474D8" w14:textId="77777777" w:rsidR="00810CE7" w:rsidRDefault="00810CE7" w:rsidP="00CF0E0E"/>
    <w:p w14:paraId="208A6B20" w14:textId="2AA45972" w:rsidR="00810CE7" w:rsidRPr="00874A11" w:rsidRDefault="00810CE7" w:rsidP="00B52E15">
      <w:pPr>
        <w:spacing w:after="120"/>
        <w:jc w:val="center"/>
        <w:rPr>
          <w:b/>
          <w:bCs/>
        </w:rPr>
      </w:pPr>
      <w:r w:rsidRPr="00C855C7">
        <w:rPr>
          <w:b/>
          <w:bCs/>
        </w:rPr>
        <w:t xml:space="preserve">Table </w:t>
      </w:r>
      <w:r w:rsidR="005D5D9F">
        <w:rPr>
          <w:b/>
          <w:bCs/>
        </w:rPr>
        <w:t>9</w:t>
      </w:r>
      <w:r w:rsidRPr="00C855C7">
        <w:rPr>
          <w:b/>
          <w:bCs/>
        </w:rPr>
        <w:t xml:space="preserve">: Performance of </w:t>
      </w:r>
      <w:r>
        <w:rPr>
          <w:b/>
          <w:bCs/>
        </w:rPr>
        <w:t>NNP</w:t>
      </w:r>
      <w:r w:rsidRPr="00C855C7">
        <w:rPr>
          <w:b/>
          <w:bCs/>
        </w:rPr>
        <w:t xml:space="preserve"> Portfolio in Meeting Reliability and State Policy </w:t>
      </w:r>
      <w:r w:rsidRPr="00AA51A9">
        <w:rPr>
          <w:b/>
          <w:bCs/>
        </w:rPr>
        <w:t>Criteria</w:t>
      </w:r>
      <w:r>
        <w:rPr>
          <w:b/>
          <w:bCs/>
        </w:rPr>
        <w:t>: CY 2025, 2030, 2035 and 2040</w:t>
      </w:r>
    </w:p>
    <w:tbl>
      <w:tblPr>
        <w:tblW w:w="7859" w:type="dxa"/>
        <w:jc w:val="center"/>
        <w:tblLook w:val="04A0" w:firstRow="1" w:lastRow="0" w:firstColumn="1" w:lastColumn="0" w:noHBand="0" w:noVBand="1"/>
      </w:tblPr>
      <w:tblGrid>
        <w:gridCol w:w="2288"/>
        <w:gridCol w:w="1392"/>
        <w:gridCol w:w="1392"/>
        <w:gridCol w:w="1395"/>
        <w:gridCol w:w="1392"/>
      </w:tblGrid>
      <w:tr w:rsidR="00810CE7" w:rsidRPr="00874A11" w14:paraId="16F209A0" w14:textId="77777777" w:rsidTr="00874A11">
        <w:trPr>
          <w:trHeight w:val="274"/>
          <w:jc w:val="center"/>
        </w:trPr>
        <w:tc>
          <w:tcPr>
            <w:tcW w:w="22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D0C54D" w14:textId="77777777" w:rsidR="00810CE7" w:rsidRPr="00874A11" w:rsidRDefault="00810CE7">
            <w:pPr>
              <w:jc w:val="center"/>
              <w:rPr>
                <w:rFonts w:ascii="Calibri" w:hAnsi="Calibri" w:cs="Calibri"/>
                <w:b/>
                <w:bCs/>
                <w:color w:val="000000"/>
                <w:sz w:val="22"/>
                <w:szCs w:val="22"/>
              </w:rPr>
            </w:pPr>
            <w:r w:rsidRPr="00874A11">
              <w:rPr>
                <w:rFonts w:ascii="Calibri" w:hAnsi="Calibri" w:cs="Calibri"/>
                <w:b/>
                <w:bCs/>
                <w:color w:val="000000"/>
                <w:sz w:val="22"/>
                <w:szCs w:val="22"/>
              </w:rPr>
              <w:t>Criteria</w:t>
            </w:r>
          </w:p>
        </w:tc>
        <w:tc>
          <w:tcPr>
            <w:tcW w:w="1392" w:type="dxa"/>
            <w:tcBorders>
              <w:top w:val="single" w:sz="4" w:space="0" w:color="auto"/>
              <w:left w:val="nil"/>
              <w:bottom w:val="single" w:sz="4" w:space="0" w:color="auto"/>
              <w:right w:val="single" w:sz="4" w:space="0" w:color="auto"/>
            </w:tcBorders>
            <w:shd w:val="clear" w:color="auto" w:fill="auto"/>
            <w:noWrap/>
            <w:vAlign w:val="center"/>
            <w:hideMark/>
          </w:tcPr>
          <w:p w14:paraId="232DFCC2" w14:textId="77777777" w:rsidR="00810CE7" w:rsidRPr="00874A11" w:rsidRDefault="00810CE7">
            <w:pPr>
              <w:jc w:val="center"/>
              <w:rPr>
                <w:rFonts w:ascii="Calibri" w:hAnsi="Calibri" w:cs="Calibri"/>
                <w:b/>
                <w:bCs/>
                <w:color w:val="000000"/>
                <w:sz w:val="22"/>
                <w:szCs w:val="22"/>
              </w:rPr>
            </w:pPr>
            <w:r w:rsidRPr="00874A11">
              <w:rPr>
                <w:rFonts w:ascii="Calibri" w:hAnsi="Calibri" w:cs="Calibri"/>
                <w:b/>
                <w:bCs/>
                <w:color w:val="000000"/>
                <w:sz w:val="22"/>
                <w:szCs w:val="22"/>
              </w:rPr>
              <w:t xml:space="preserve">2025 </w:t>
            </w:r>
          </w:p>
        </w:tc>
        <w:tc>
          <w:tcPr>
            <w:tcW w:w="1392" w:type="dxa"/>
            <w:tcBorders>
              <w:top w:val="single" w:sz="4" w:space="0" w:color="auto"/>
              <w:left w:val="nil"/>
              <w:bottom w:val="single" w:sz="4" w:space="0" w:color="auto"/>
              <w:right w:val="single" w:sz="4" w:space="0" w:color="auto"/>
            </w:tcBorders>
            <w:shd w:val="clear" w:color="auto" w:fill="auto"/>
            <w:noWrap/>
            <w:vAlign w:val="center"/>
            <w:hideMark/>
          </w:tcPr>
          <w:p w14:paraId="36465387" w14:textId="77777777" w:rsidR="00810CE7" w:rsidRPr="00874A11" w:rsidRDefault="00810CE7">
            <w:pPr>
              <w:jc w:val="center"/>
              <w:rPr>
                <w:rFonts w:ascii="Calibri" w:hAnsi="Calibri" w:cs="Calibri"/>
                <w:b/>
                <w:bCs/>
                <w:color w:val="000000"/>
                <w:sz w:val="22"/>
                <w:szCs w:val="22"/>
              </w:rPr>
            </w:pPr>
            <w:r w:rsidRPr="00874A11">
              <w:rPr>
                <w:rFonts w:ascii="Calibri" w:hAnsi="Calibri" w:cs="Calibri"/>
                <w:b/>
                <w:bCs/>
                <w:color w:val="000000"/>
                <w:sz w:val="22"/>
                <w:szCs w:val="22"/>
              </w:rPr>
              <w:t xml:space="preserve">2030 </w:t>
            </w:r>
          </w:p>
        </w:tc>
        <w:tc>
          <w:tcPr>
            <w:tcW w:w="1392" w:type="dxa"/>
            <w:tcBorders>
              <w:top w:val="single" w:sz="4" w:space="0" w:color="auto"/>
              <w:left w:val="nil"/>
              <w:bottom w:val="single" w:sz="4" w:space="0" w:color="auto"/>
              <w:right w:val="single" w:sz="4" w:space="0" w:color="auto"/>
            </w:tcBorders>
            <w:shd w:val="clear" w:color="auto" w:fill="auto"/>
            <w:noWrap/>
            <w:vAlign w:val="center"/>
            <w:hideMark/>
          </w:tcPr>
          <w:p w14:paraId="42FF2C99" w14:textId="77777777" w:rsidR="00810CE7" w:rsidRPr="00874A11" w:rsidRDefault="00810CE7">
            <w:pPr>
              <w:jc w:val="center"/>
              <w:rPr>
                <w:rFonts w:ascii="Calibri" w:hAnsi="Calibri" w:cs="Calibri"/>
                <w:b/>
                <w:bCs/>
                <w:color w:val="000000"/>
                <w:sz w:val="22"/>
                <w:szCs w:val="22"/>
              </w:rPr>
            </w:pPr>
            <w:r w:rsidRPr="00874A11">
              <w:rPr>
                <w:rFonts w:ascii="Calibri" w:hAnsi="Calibri" w:cs="Calibri"/>
                <w:b/>
                <w:bCs/>
                <w:color w:val="000000"/>
                <w:sz w:val="22"/>
                <w:szCs w:val="22"/>
              </w:rPr>
              <w:t xml:space="preserve">2035 </w:t>
            </w:r>
          </w:p>
        </w:tc>
        <w:tc>
          <w:tcPr>
            <w:tcW w:w="1392" w:type="dxa"/>
            <w:tcBorders>
              <w:top w:val="single" w:sz="4" w:space="0" w:color="auto"/>
              <w:left w:val="nil"/>
              <w:bottom w:val="single" w:sz="4" w:space="0" w:color="auto"/>
              <w:right w:val="single" w:sz="4" w:space="0" w:color="auto"/>
            </w:tcBorders>
            <w:shd w:val="clear" w:color="auto" w:fill="auto"/>
            <w:noWrap/>
            <w:vAlign w:val="center"/>
            <w:hideMark/>
          </w:tcPr>
          <w:p w14:paraId="525EB928" w14:textId="77777777" w:rsidR="00810CE7" w:rsidRPr="00874A11" w:rsidRDefault="00810CE7">
            <w:pPr>
              <w:jc w:val="center"/>
              <w:rPr>
                <w:rFonts w:ascii="Calibri" w:hAnsi="Calibri" w:cs="Calibri"/>
                <w:b/>
                <w:bCs/>
                <w:color w:val="000000"/>
                <w:sz w:val="22"/>
                <w:szCs w:val="22"/>
              </w:rPr>
            </w:pPr>
            <w:r w:rsidRPr="00874A11">
              <w:rPr>
                <w:rFonts w:ascii="Calibri" w:hAnsi="Calibri" w:cs="Calibri"/>
                <w:b/>
                <w:bCs/>
                <w:color w:val="000000"/>
                <w:sz w:val="22"/>
                <w:szCs w:val="22"/>
              </w:rPr>
              <w:t xml:space="preserve">2040 </w:t>
            </w:r>
          </w:p>
        </w:tc>
      </w:tr>
      <w:tr w:rsidR="00810CE7" w:rsidRPr="00874A11" w14:paraId="30A0FECD" w14:textId="77777777" w:rsidTr="00874A11">
        <w:trPr>
          <w:trHeight w:val="274"/>
          <w:jc w:val="center"/>
        </w:trPr>
        <w:tc>
          <w:tcPr>
            <w:tcW w:w="2288" w:type="dxa"/>
            <w:tcBorders>
              <w:top w:val="nil"/>
              <w:left w:val="single" w:sz="4" w:space="0" w:color="auto"/>
              <w:bottom w:val="single" w:sz="4" w:space="0" w:color="auto"/>
              <w:right w:val="single" w:sz="4" w:space="0" w:color="auto"/>
            </w:tcBorders>
            <w:shd w:val="clear" w:color="auto" w:fill="auto"/>
            <w:noWrap/>
            <w:vAlign w:val="center"/>
            <w:hideMark/>
          </w:tcPr>
          <w:p w14:paraId="5E680DA6" w14:textId="77777777" w:rsidR="00810CE7" w:rsidRPr="00874A11" w:rsidRDefault="00810CE7">
            <w:pPr>
              <w:rPr>
                <w:rFonts w:ascii="Calibri" w:hAnsi="Calibri" w:cs="Calibri"/>
                <w:b/>
                <w:bCs/>
                <w:color w:val="000000"/>
                <w:sz w:val="22"/>
                <w:szCs w:val="22"/>
              </w:rPr>
            </w:pPr>
            <w:r w:rsidRPr="00874A11">
              <w:rPr>
                <w:rFonts w:ascii="Calibri" w:hAnsi="Calibri" w:cs="Calibri"/>
                <w:b/>
                <w:bCs/>
                <w:color w:val="000000"/>
                <w:sz w:val="22"/>
                <w:szCs w:val="22"/>
              </w:rPr>
              <w:t>Contracted PRM (%)</w:t>
            </w:r>
          </w:p>
        </w:tc>
        <w:tc>
          <w:tcPr>
            <w:tcW w:w="1392" w:type="dxa"/>
            <w:tcBorders>
              <w:top w:val="nil"/>
              <w:left w:val="nil"/>
              <w:bottom w:val="single" w:sz="4" w:space="0" w:color="auto"/>
              <w:right w:val="single" w:sz="4" w:space="0" w:color="auto"/>
            </w:tcBorders>
            <w:shd w:val="clear" w:color="auto" w:fill="auto"/>
            <w:noWrap/>
            <w:vAlign w:val="center"/>
            <w:hideMark/>
          </w:tcPr>
          <w:p w14:paraId="58E080EE" w14:textId="77777777" w:rsidR="00810CE7" w:rsidRPr="00874A11" w:rsidRDefault="00810CE7">
            <w:pPr>
              <w:jc w:val="right"/>
              <w:rPr>
                <w:rFonts w:ascii="Calibri" w:hAnsi="Calibri" w:cs="Calibri"/>
                <w:color w:val="000000"/>
                <w:sz w:val="22"/>
                <w:szCs w:val="22"/>
              </w:rPr>
            </w:pPr>
            <w:r w:rsidRPr="00874A11">
              <w:rPr>
                <w:rFonts w:ascii="Calibri" w:hAnsi="Calibri" w:cs="Calibri"/>
                <w:color w:val="000000"/>
                <w:sz w:val="22"/>
                <w:szCs w:val="22"/>
              </w:rPr>
              <w:t>85%*</w:t>
            </w:r>
          </w:p>
        </w:tc>
        <w:tc>
          <w:tcPr>
            <w:tcW w:w="1392" w:type="dxa"/>
            <w:tcBorders>
              <w:top w:val="nil"/>
              <w:left w:val="nil"/>
              <w:bottom w:val="single" w:sz="4" w:space="0" w:color="auto"/>
              <w:right w:val="single" w:sz="4" w:space="0" w:color="auto"/>
            </w:tcBorders>
            <w:shd w:val="clear" w:color="auto" w:fill="auto"/>
            <w:noWrap/>
            <w:vAlign w:val="center"/>
            <w:hideMark/>
          </w:tcPr>
          <w:p w14:paraId="37BF0C51" w14:textId="77777777" w:rsidR="00810CE7" w:rsidRPr="00874A11" w:rsidRDefault="00810CE7">
            <w:pPr>
              <w:jc w:val="right"/>
              <w:rPr>
                <w:rFonts w:ascii="Calibri" w:hAnsi="Calibri" w:cs="Calibri"/>
                <w:color w:val="000000"/>
                <w:sz w:val="22"/>
                <w:szCs w:val="22"/>
              </w:rPr>
            </w:pPr>
            <w:r w:rsidRPr="00874A11">
              <w:rPr>
                <w:rFonts w:ascii="Calibri" w:hAnsi="Calibri" w:cs="Calibri"/>
                <w:color w:val="000000"/>
                <w:sz w:val="22"/>
                <w:szCs w:val="22"/>
              </w:rPr>
              <w:t>76%*</w:t>
            </w:r>
          </w:p>
        </w:tc>
        <w:tc>
          <w:tcPr>
            <w:tcW w:w="1392" w:type="dxa"/>
            <w:tcBorders>
              <w:top w:val="nil"/>
              <w:left w:val="nil"/>
              <w:bottom w:val="single" w:sz="4" w:space="0" w:color="auto"/>
              <w:right w:val="single" w:sz="4" w:space="0" w:color="auto"/>
            </w:tcBorders>
            <w:shd w:val="clear" w:color="auto" w:fill="auto"/>
            <w:noWrap/>
            <w:vAlign w:val="center"/>
            <w:hideMark/>
          </w:tcPr>
          <w:p w14:paraId="374861CF" w14:textId="77777777" w:rsidR="00810CE7" w:rsidRPr="00874A11" w:rsidRDefault="00810CE7">
            <w:pPr>
              <w:jc w:val="right"/>
              <w:rPr>
                <w:rFonts w:ascii="Calibri" w:hAnsi="Calibri" w:cs="Calibri"/>
                <w:color w:val="000000"/>
                <w:sz w:val="22"/>
                <w:szCs w:val="22"/>
              </w:rPr>
            </w:pPr>
            <w:r w:rsidRPr="00874A11">
              <w:rPr>
                <w:rFonts w:ascii="Calibri" w:hAnsi="Calibri" w:cs="Calibri"/>
                <w:color w:val="000000"/>
                <w:sz w:val="22"/>
                <w:szCs w:val="22"/>
              </w:rPr>
              <w:t>67%*</w:t>
            </w:r>
          </w:p>
        </w:tc>
        <w:tc>
          <w:tcPr>
            <w:tcW w:w="1392" w:type="dxa"/>
            <w:tcBorders>
              <w:top w:val="nil"/>
              <w:left w:val="nil"/>
              <w:bottom w:val="single" w:sz="4" w:space="0" w:color="auto"/>
              <w:right w:val="single" w:sz="4" w:space="0" w:color="auto"/>
            </w:tcBorders>
            <w:shd w:val="clear" w:color="auto" w:fill="auto"/>
            <w:noWrap/>
            <w:vAlign w:val="center"/>
            <w:hideMark/>
          </w:tcPr>
          <w:p w14:paraId="6EDD08A1" w14:textId="77777777" w:rsidR="00810CE7" w:rsidRPr="00874A11" w:rsidRDefault="00810CE7">
            <w:pPr>
              <w:jc w:val="right"/>
              <w:rPr>
                <w:rFonts w:ascii="Calibri" w:hAnsi="Calibri" w:cs="Calibri"/>
                <w:color w:val="000000"/>
                <w:sz w:val="22"/>
                <w:szCs w:val="22"/>
              </w:rPr>
            </w:pPr>
            <w:r w:rsidRPr="00874A11">
              <w:rPr>
                <w:rFonts w:ascii="Calibri" w:hAnsi="Calibri" w:cs="Calibri"/>
                <w:color w:val="000000"/>
                <w:sz w:val="22"/>
                <w:szCs w:val="22"/>
              </w:rPr>
              <w:t>61%*</w:t>
            </w:r>
          </w:p>
        </w:tc>
      </w:tr>
      <w:tr w:rsidR="00810CE7" w:rsidRPr="00874A11" w14:paraId="128B49F1" w14:textId="77777777" w:rsidTr="00874A11">
        <w:trPr>
          <w:trHeight w:val="274"/>
          <w:jc w:val="center"/>
        </w:trPr>
        <w:tc>
          <w:tcPr>
            <w:tcW w:w="2288" w:type="dxa"/>
            <w:tcBorders>
              <w:top w:val="nil"/>
              <w:left w:val="single" w:sz="4" w:space="0" w:color="auto"/>
              <w:bottom w:val="single" w:sz="4" w:space="0" w:color="auto"/>
              <w:right w:val="single" w:sz="4" w:space="0" w:color="auto"/>
            </w:tcBorders>
            <w:shd w:val="clear" w:color="auto" w:fill="auto"/>
            <w:noWrap/>
            <w:vAlign w:val="center"/>
            <w:hideMark/>
          </w:tcPr>
          <w:p w14:paraId="2B5BD11F" w14:textId="77777777" w:rsidR="00810CE7" w:rsidRPr="00874A11" w:rsidRDefault="00810CE7">
            <w:pPr>
              <w:rPr>
                <w:rFonts w:ascii="Calibri" w:hAnsi="Calibri" w:cs="Calibri"/>
                <w:b/>
                <w:bCs/>
                <w:color w:val="000000"/>
                <w:sz w:val="22"/>
                <w:szCs w:val="22"/>
              </w:rPr>
            </w:pPr>
            <w:r w:rsidRPr="00874A11">
              <w:rPr>
                <w:rFonts w:ascii="Calibri" w:hAnsi="Calibri" w:cs="Calibri"/>
                <w:b/>
                <w:bCs/>
                <w:color w:val="000000"/>
                <w:sz w:val="22"/>
                <w:szCs w:val="22"/>
              </w:rPr>
              <w:t>Contracted RPS (%)</w:t>
            </w:r>
          </w:p>
        </w:tc>
        <w:tc>
          <w:tcPr>
            <w:tcW w:w="1392" w:type="dxa"/>
            <w:tcBorders>
              <w:top w:val="nil"/>
              <w:left w:val="nil"/>
              <w:bottom w:val="single" w:sz="4" w:space="0" w:color="auto"/>
              <w:right w:val="single" w:sz="4" w:space="0" w:color="auto"/>
            </w:tcBorders>
            <w:shd w:val="clear" w:color="auto" w:fill="auto"/>
            <w:noWrap/>
            <w:vAlign w:val="center"/>
            <w:hideMark/>
          </w:tcPr>
          <w:p w14:paraId="7C725325" w14:textId="77777777" w:rsidR="00810CE7" w:rsidRPr="00874A11" w:rsidRDefault="00810CE7">
            <w:pPr>
              <w:jc w:val="right"/>
              <w:rPr>
                <w:rFonts w:ascii="Calibri" w:hAnsi="Calibri" w:cs="Calibri"/>
                <w:color w:val="000000"/>
                <w:sz w:val="22"/>
                <w:szCs w:val="22"/>
              </w:rPr>
            </w:pPr>
            <w:r w:rsidRPr="00874A11">
              <w:rPr>
                <w:rFonts w:ascii="Calibri" w:hAnsi="Calibri" w:cs="Calibri"/>
                <w:color w:val="000000"/>
                <w:sz w:val="22"/>
                <w:szCs w:val="22"/>
              </w:rPr>
              <w:t>51%</w:t>
            </w:r>
          </w:p>
        </w:tc>
        <w:tc>
          <w:tcPr>
            <w:tcW w:w="1392" w:type="dxa"/>
            <w:tcBorders>
              <w:top w:val="nil"/>
              <w:left w:val="nil"/>
              <w:bottom w:val="single" w:sz="4" w:space="0" w:color="auto"/>
              <w:right w:val="single" w:sz="4" w:space="0" w:color="auto"/>
            </w:tcBorders>
            <w:shd w:val="clear" w:color="auto" w:fill="auto"/>
            <w:noWrap/>
            <w:vAlign w:val="center"/>
            <w:hideMark/>
          </w:tcPr>
          <w:p w14:paraId="48ECBE2F" w14:textId="77777777" w:rsidR="00810CE7" w:rsidRPr="00874A11" w:rsidRDefault="00810CE7">
            <w:pPr>
              <w:jc w:val="right"/>
              <w:rPr>
                <w:rFonts w:ascii="Calibri" w:hAnsi="Calibri" w:cs="Calibri"/>
                <w:color w:val="000000"/>
                <w:sz w:val="22"/>
                <w:szCs w:val="22"/>
              </w:rPr>
            </w:pPr>
            <w:r w:rsidRPr="00874A11">
              <w:rPr>
                <w:rFonts w:ascii="Calibri" w:hAnsi="Calibri" w:cs="Calibri"/>
                <w:color w:val="000000"/>
                <w:sz w:val="22"/>
                <w:szCs w:val="22"/>
              </w:rPr>
              <w:t>49%**</w:t>
            </w:r>
          </w:p>
        </w:tc>
        <w:tc>
          <w:tcPr>
            <w:tcW w:w="1392" w:type="dxa"/>
            <w:tcBorders>
              <w:top w:val="nil"/>
              <w:left w:val="nil"/>
              <w:bottom w:val="single" w:sz="4" w:space="0" w:color="auto"/>
              <w:right w:val="single" w:sz="4" w:space="0" w:color="auto"/>
            </w:tcBorders>
            <w:shd w:val="clear" w:color="auto" w:fill="auto"/>
            <w:noWrap/>
            <w:vAlign w:val="center"/>
            <w:hideMark/>
          </w:tcPr>
          <w:p w14:paraId="3D48E1C6" w14:textId="77777777" w:rsidR="00810CE7" w:rsidRPr="00874A11" w:rsidRDefault="00810CE7">
            <w:pPr>
              <w:jc w:val="right"/>
              <w:rPr>
                <w:rFonts w:ascii="Calibri" w:hAnsi="Calibri" w:cs="Calibri"/>
                <w:color w:val="000000"/>
                <w:sz w:val="22"/>
                <w:szCs w:val="22"/>
              </w:rPr>
            </w:pPr>
            <w:r w:rsidRPr="00874A11">
              <w:rPr>
                <w:rFonts w:ascii="Calibri" w:hAnsi="Calibri" w:cs="Calibri"/>
                <w:color w:val="000000"/>
                <w:sz w:val="22"/>
                <w:szCs w:val="22"/>
              </w:rPr>
              <w:t>41%**</w:t>
            </w:r>
          </w:p>
        </w:tc>
        <w:tc>
          <w:tcPr>
            <w:tcW w:w="1392" w:type="dxa"/>
            <w:tcBorders>
              <w:top w:val="nil"/>
              <w:left w:val="nil"/>
              <w:bottom w:val="single" w:sz="4" w:space="0" w:color="auto"/>
              <w:right w:val="single" w:sz="4" w:space="0" w:color="auto"/>
            </w:tcBorders>
            <w:shd w:val="clear" w:color="auto" w:fill="auto"/>
            <w:noWrap/>
            <w:vAlign w:val="center"/>
            <w:hideMark/>
          </w:tcPr>
          <w:p w14:paraId="300A3475" w14:textId="77777777" w:rsidR="00810CE7" w:rsidRPr="00874A11" w:rsidRDefault="00810CE7">
            <w:pPr>
              <w:jc w:val="right"/>
              <w:rPr>
                <w:rFonts w:ascii="Calibri" w:hAnsi="Calibri" w:cs="Calibri"/>
                <w:color w:val="000000"/>
                <w:sz w:val="22"/>
                <w:szCs w:val="22"/>
              </w:rPr>
            </w:pPr>
            <w:r w:rsidRPr="00874A11">
              <w:rPr>
                <w:rFonts w:ascii="Calibri" w:hAnsi="Calibri" w:cs="Calibri"/>
                <w:color w:val="000000"/>
                <w:sz w:val="22"/>
                <w:szCs w:val="22"/>
              </w:rPr>
              <w:t>40%**</w:t>
            </w:r>
          </w:p>
        </w:tc>
      </w:tr>
      <w:tr w:rsidR="00810CE7" w:rsidRPr="00874A11" w14:paraId="64306E40" w14:textId="77777777" w:rsidTr="00874A11">
        <w:trPr>
          <w:trHeight w:val="274"/>
          <w:jc w:val="center"/>
        </w:trPr>
        <w:tc>
          <w:tcPr>
            <w:tcW w:w="2288" w:type="dxa"/>
            <w:tcBorders>
              <w:top w:val="nil"/>
              <w:left w:val="single" w:sz="4" w:space="0" w:color="auto"/>
              <w:bottom w:val="single" w:sz="4" w:space="0" w:color="auto"/>
              <w:right w:val="single" w:sz="4" w:space="0" w:color="auto"/>
            </w:tcBorders>
            <w:shd w:val="clear" w:color="auto" w:fill="auto"/>
            <w:noWrap/>
            <w:vAlign w:val="center"/>
            <w:hideMark/>
          </w:tcPr>
          <w:p w14:paraId="04A06970" w14:textId="77777777" w:rsidR="00810CE7" w:rsidRPr="00874A11" w:rsidRDefault="00810CE7">
            <w:pPr>
              <w:rPr>
                <w:rFonts w:ascii="Calibri" w:hAnsi="Calibri" w:cs="Calibri"/>
                <w:b/>
                <w:bCs/>
                <w:color w:val="000000"/>
                <w:sz w:val="22"/>
                <w:szCs w:val="22"/>
              </w:rPr>
            </w:pPr>
            <w:r w:rsidRPr="00874A11">
              <w:rPr>
                <w:rFonts w:ascii="Calibri" w:hAnsi="Calibri" w:cs="Calibri"/>
                <w:b/>
                <w:bCs/>
                <w:color w:val="000000"/>
                <w:sz w:val="22"/>
                <w:szCs w:val="22"/>
              </w:rPr>
              <w:t>GHG Free (%)</w:t>
            </w:r>
          </w:p>
        </w:tc>
        <w:tc>
          <w:tcPr>
            <w:tcW w:w="1392" w:type="dxa"/>
            <w:tcBorders>
              <w:top w:val="nil"/>
              <w:left w:val="nil"/>
              <w:bottom w:val="single" w:sz="4" w:space="0" w:color="auto"/>
              <w:right w:val="single" w:sz="4" w:space="0" w:color="auto"/>
            </w:tcBorders>
            <w:shd w:val="clear" w:color="auto" w:fill="auto"/>
            <w:noWrap/>
            <w:vAlign w:val="center"/>
            <w:hideMark/>
          </w:tcPr>
          <w:p w14:paraId="18F99AB9" w14:textId="77777777" w:rsidR="00810CE7" w:rsidRPr="00874A11" w:rsidRDefault="00810CE7">
            <w:pPr>
              <w:jc w:val="right"/>
              <w:rPr>
                <w:rFonts w:ascii="Calibri" w:hAnsi="Calibri" w:cs="Calibri"/>
                <w:color w:val="000000"/>
                <w:sz w:val="22"/>
                <w:szCs w:val="22"/>
              </w:rPr>
            </w:pPr>
            <w:r w:rsidRPr="00874A11">
              <w:rPr>
                <w:rFonts w:ascii="Calibri" w:hAnsi="Calibri" w:cs="Calibri"/>
                <w:color w:val="000000"/>
                <w:sz w:val="22"/>
                <w:szCs w:val="22"/>
              </w:rPr>
              <w:t>55%</w:t>
            </w:r>
          </w:p>
        </w:tc>
        <w:tc>
          <w:tcPr>
            <w:tcW w:w="1392" w:type="dxa"/>
            <w:tcBorders>
              <w:top w:val="nil"/>
              <w:left w:val="nil"/>
              <w:bottom w:val="single" w:sz="4" w:space="0" w:color="auto"/>
              <w:right w:val="single" w:sz="4" w:space="0" w:color="auto"/>
            </w:tcBorders>
            <w:shd w:val="clear" w:color="auto" w:fill="auto"/>
            <w:noWrap/>
            <w:vAlign w:val="center"/>
            <w:hideMark/>
          </w:tcPr>
          <w:p w14:paraId="3AB1650D" w14:textId="22C6A1F0" w:rsidR="00810CE7" w:rsidRPr="00874A11" w:rsidRDefault="00810CE7">
            <w:pPr>
              <w:jc w:val="right"/>
              <w:rPr>
                <w:rFonts w:ascii="Calibri" w:hAnsi="Calibri" w:cs="Calibri"/>
                <w:color w:val="000000"/>
                <w:sz w:val="22"/>
                <w:szCs w:val="22"/>
              </w:rPr>
            </w:pPr>
            <w:r w:rsidRPr="00874A11">
              <w:rPr>
                <w:rFonts w:ascii="Calibri" w:hAnsi="Calibri" w:cs="Calibri"/>
                <w:color w:val="000000"/>
                <w:sz w:val="22"/>
                <w:szCs w:val="22"/>
              </w:rPr>
              <w:t>54%</w:t>
            </w:r>
          </w:p>
        </w:tc>
        <w:tc>
          <w:tcPr>
            <w:tcW w:w="1392" w:type="dxa"/>
            <w:tcBorders>
              <w:top w:val="nil"/>
              <w:left w:val="nil"/>
              <w:bottom w:val="single" w:sz="4" w:space="0" w:color="auto"/>
              <w:right w:val="single" w:sz="4" w:space="0" w:color="auto"/>
            </w:tcBorders>
            <w:shd w:val="clear" w:color="auto" w:fill="auto"/>
            <w:noWrap/>
            <w:vAlign w:val="center"/>
            <w:hideMark/>
          </w:tcPr>
          <w:p w14:paraId="427E8641" w14:textId="418DC417" w:rsidR="00810CE7" w:rsidRPr="00874A11" w:rsidRDefault="00810CE7">
            <w:pPr>
              <w:jc w:val="right"/>
              <w:rPr>
                <w:rFonts w:ascii="Calibri" w:hAnsi="Calibri" w:cs="Calibri"/>
                <w:color w:val="000000"/>
                <w:sz w:val="22"/>
                <w:szCs w:val="22"/>
              </w:rPr>
            </w:pPr>
            <w:r w:rsidRPr="00874A11">
              <w:rPr>
                <w:rFonts w:ascii="Calibri" w:hAnsi="Calibri" w:cs="Calibri"/>
                <w:color w:val="000000"/>
                <w:sz w:val="22"/>
                <w:szCs w:val="22"/>
              </w:rPr>
              <w:t>42%</w:t>
            </w:r>
            <w:r w:rsidR="00337AC2">
              <w:rPr>
                <w:rFonts w:ascii="Calibri" w:hAnsi="Calibri" w:cs="Calibri"/>
                <w:color w:val="000000"/>
                <w:sz w:val="22"/>
                <w:szCs w:val="22"/>
              </w:rPr>
              <w:t>**</w:t>
            </w:r>
          </w:p>
        </w:tc>
        <w:tc>
          <w:tcPr>
            <w:tcW w:w="1392" w:type="dxa"/>
            <w:tcBorders>
              <w:top w:val="nil"/>
              <w:left w:val="nil"/>
              <w:bottom w:val="single" w:sz="4" w:space="0" w:color="auto"/>
              <w:right w:val="single" w:sz="4" w:space="0" w:color="auto"/>
            </w:tcBorders>
            <w:shd w:val="clear" w:color="auto" w:fill="auto"/>
            <w:noWrap/>
            <w:vAlign w:val="center"/>
            <w:hideMark/>
          </w:tcPr>
          <w:p w14:paraId="0AF13FFC" w14:textId="573FD8F5" w:rsidR="00810CE7" w:rsidRPr="00874A11" w:rsidRDefault="00810CE7">
            <w:pPr>
              <w:jc w:val="right"/>
              <w:rPr>
                <w:rFonts w:ascii="Calibri" w:hAnsi="Calibri" w:cs="Calibri"/>
                <w:color w:val="000000"/>
                <w:sz w:val="22"/>
                <w:szCs w:val="22"/>
              </w:rPr>
            </w:pPr>
            <w:r w:rsidRPr="00874A11">
              <w:rPr>
                <w:rFonts w:ascii="Calibri" w:hAnsi="Calibri" w:cs="Calibri"/>
                <w:color w:val="000000"/>
                <w:sz w:val="22"/>
                <w:szCs w:val="22"/>
              </w:rPr>
              <w:t>42%</w:t>
            </w:r>
            <w:r w:rsidR="00337AC2">
              <w:rPr>
                <w:rFonts w:ascii="Calibri" w:hAnsi="Calibri" w:cs="Calibri"/>
                <w:color w:val="000000"/>
                <w:sz w:val="22"/>
                <w:szCs w:val="22"/>
              </w:rPr>
              <w:t>**</w:t>
            </w:r>
          </w:p>
        </w:tc>
      </w:tr>
      <w:tr w:rsidR="00810CE7" w:rsidRPr="00874A11" w14:paraId="06E24478" w14:textId="77777777" w:rsidTr="00874A11">
        <w:trPr>
          <w:trHeight w:val="274"/>
          <w:jc w:val="center"/>
        </w:trPr>
        <w:tc>
          <w:tcPr>
            <w:tcW w:w="6467" w:type="dxa"/>
            <w:gridSpan w:val="4"/>
            <w:tcBorders>
              <w:top w:val="nil"/>
              <w:left w:val="nil"/>
              <w:bottom w:val="nil"/>
              <w:right w:val="nil"/>
            </w:tcBorders>
            <w:shd w:val="clear" w:color="auto" w:fill="auto"/>
            <w:noWrap/>
            <w:vAlign w:val="bottom"/>
            <w:hideMark/>
          </w:tcPr>
          <w:p w14:paraId="310286EF" w14:textId="77777777" w:rsidR="00810CE7" w:rsidRPr="00874A11" w:rsidRDefault="00810CE7">
            <w:pPr>
              <w:rPr>
                <w:rFonts w:ascii="Calibri" w:hAnsi="Calibri" w:cs="Calibri"/>
                <w:color w:val="000000"/>
                <w:sz w:val="22"/>
                <w:szCs w:val="22"/>
              </w:rPr>
            </w:pPr>
            <w:r w:rsidRPr="00874A11">
              <w:rPr>
                <w:rFonts w:ascii="Calibri" w:hAnsi="Calibri" w:cs="Calibri"/>
                <w:color w:val="000000"/>
                <w:sz w:val="22"/>
                <w:szCs w:val="22"/>
              </w:rPr>
              <w:t>* Requires additional RA capacity purchase to meet 115% PRM</w:t>
            </w:r>
          </w:p>
        </w:tc>
        <w:tc>
          <w:tcPr>
            <w:tcW w:w="1392" w:type="dxa"/>
            <w:tcBorders>
              <w:top w:val="nil"/>
              <w:left w:val="nil"/>
              <w:bottom w:val="nil"/>
              <w:right w:val="nil"/>
            </w:tcBorders>
            <w:shd w:val="clear" w:color="auto" w:fill="auto"/>
            <w:noWrap/>
            <w:vAlign w:val="bottom"/>
            <w:hideMark/>
          </w:tcPr>
          <w:p w14:paraId="48FF5810" w14:textId="77777777" w:rsidR="00810CE7" w:rsidRPr="00874A11" w:rsidRDefault="00810CE7">
            <w:pPr>
              <w:rPr>
                <w:rFonts w:ascii="Calibri" w:hAnsi="Calibri" w:cs="Calibri"/>
                <w:color w:val="000000"/>
                <w:sz w:val="22"/>
                <w:szCs w:val="22"/>
              </w:rPr>
            </w:pPr>
          </w:p>
        </w:tc>
      </w:tr>
      <w:tr w:rsidR="00810CE7" w:rsidRPr="00874A11" w14:paraId="1AB15C8A" w14:textId="77777777" w:rsidTr="00874A11">
        <w:trPr>
          <w:trHeight w:val="274"/>
          <w:jc w:val="center"/>
        </w:trPr>
        <w:tc>
          <w:tcPr>
            <w:tcW w:w="6467" w:type="dxa"/>
            <w:gridSpan w:val="4"/>
            <w:tcBorders>
              <w:top w:val="nil"/>
              <w:left w:val="nil"/>
              <w:bottom w:val="nil"/>
              <w:right w:val="nil"/>
            </w:tcBorders>
            <w:shd w:val="clear" w:color="auto" w:fill="auto"/>
            <w:noWrap/>
            <w:vAlign w:val="bottom"/>
            <w:hideMark/>
          </w:tcPr>
          <w:p w14:paraId="31695D3A" w14:textId="05E186CF" w:rsidR="00810CE7" w:rsidRPr="00874A11" w:rsidRDefault="00810CE7">
            <w:pPr>
              <w:rPr>
                <w:rFonts w:ascii="Calibri" w:hAnsi="Calibri" w:cs="Calibri"/>
                <w:color w:val="000000"/>
                <w:sz w:val="22"/>
                <w:szCs w:val="22"/>
              </w:rPr>
            </w:pPr>
            <w:r w:rsidRPr="00874A11">
              <w:rPr>
                <w:rFonts w:ascii="Calibri" w:hAnsi="Calibri" w:cs="Calibri"/>
                <w:color w:val="000000"/>
                <w:sz w:val="22"/>
                <w:szCs w:val="22"/>
              </w:rPr>
              <w:t>** Requires additional REC purchase to meet RPS goals</w:t>
            </w:r>
            <w:r w:rsidR="00CD50DA">
              <w:rPr>
                <w:rFonts w:ascii="Calibri" w:hAnsi="Calibri" w:cs="Calibri"/>
                <w:color w:val="000000"/>
                <w:sz w:val="22"/>
                <w:szCs w:val="22"/>
              </w:rPr>
              <w:t xml:space="preserve"> of </w:t>
            </w:r>
            <w:r w:rsidR="001C4034">
              <w:rPr>
                <w:rFonts w:ascii="Calibri" w:hAnsi="Calibri" w:cs="Calibri"/>
                <w:color w:val="000000"/>
                <w:sz w:val="22"/>
                <w:szCs w:val="22"/>
              </w:rPr>
              <w:t>60</w:t>
            </w:r>
            <w:r w:rsidR="00CD50DA">
              <w:rPr>
                <w:rFonts w:ascii="Calibri" w:hAnsi="Calibri" w:cs="Calibri"/>
                <w:color w:val="000000"/>
                <w:sz w:val="22"/>
                <w:szCs w:val="22"/>
              </w:rPr>
              <w:t xml:space="preserve">% </w:t>
            </w:r>
            <w:r w:rsidR="001C4034">
              <w:rPr>
                <w:rFonts w:ascii="Calibri" w:hAnsi="Calibri" w:cs="Calibri"/>
                <w:color w:val="000000"/>
                <w:sz w:val="22"/>
                <w:szCs w:val="22"/>
              </w:rPr>
              <w:t xml:space="preserve">beyond </w:t>
            </w:r>
            <w:r w:rsidR="00CD50DA">
              <w:rPr>
                <w:rFonts w:ascii="Calibri" w:hAnsi="Calibri" w:cs="Calibri"/>
                <w:color w:val="000000"/>
                <w:sz w:val="22"/>
                <w:szCs w:val="22"/>
              </w:rPr>
              <w:t xml:space="preserve">2030. The </w:t>
            </w:r>
            <w:r w:rsidR="00755986">
              <w:rPr>
                <w:rFonts w:ascii="Calibri" w:hAnsi="Calibri" w:cs="Calibri"/>
                <w:color w:val="000000"/>
                <w:sz w:val="22"/>
                <w:szCs w:val="22"/>
              </w:rPr>
              <w:t>GHG-free</w:t>
            </w:r>
            <w:r w:rsidR="00CD50DA">
              <w:rPr>
                <w:rFonts w:ascii="Calibri" w:hAnsi="Calibri" w:cs="Calibri"/>
                <w:color w:val="000000"/>
                <w:sz w:val="22"/>
                <w:szCs w:val="22"/>
              </w:rPr>
              <w:t xml:space="preserve"> goals of </w:t>
            </w:r>
            <w:r w:rsidR="001C4034">
              <w:rPr>
                <w:rFonts w:ascii="Calibri" w:hAnsi="Calibri" w:cs="Calibri"/>
                <w:color w:val="000000"/>
                <w:sz w:val="22"/>
                <w:szCs w:val="22"/>
              </w:rPr>
              <w:t>90% by 2035 and 95% by 2040 are not met by the NNP portfolio</w:t>
            </w:r>
            <w:r w:rsidR="00CD50DA">
              <w:rPr>
                <w:rFonts w:ascii="Calibri" w:hAnsi="Calibri" w:cs="Calibri"/>
                <w:color w:val="000000"/>
                <w:sz w:val="22"/>
                <w:szCs w:val="22"/>
              </w:rPr>
              <w:t>.</w:t>
            </w:r>
          </w:p>
        </w:tc>
        <w:tc>
          <w:tcPr>
            <w:tcW w:w="1392" w:type="dxa"/>
            <w:tcBorders>
              <w:top w:val="nil"/>
              <w:left w:val="nil"/>
              <w:bottom w:val="nil"/>
              <w:right w:val="nil"/>
            </w:tcBorders>
            <w:shd w:val="clear" w:color="auto" w:fill="auto"/>
            <w:noWrap/>
            <w:vAlign w:val="bottom"/>
            <w:hideMark/>
          </w:tcPr>
          <w:p w14:paraId="322A454D" w14:textId="77777777" w:rsidR="00810CE7" w:rsidRPr="00874A11" w:rsidRDefault="00810CE7">
            <w:pPr>
              <w:rPr>
                <w:rFonts w:ascii="Calibri" w:hAnsi="Calibri" w:cs="Calibri"/>
                <w:color w:val="000000"/>
                <w:sz w:val="22"/>
                <w:szCs w:val="22"/>
              </w:rPr>
            </w:pPr>
          </w:p>
        </w:tc>
      </w:tr>
    </w:tbl>
    <w:p w14:paraId="651BA6C6" w14:textId="51FEA381" w:rsidR="00CF0E0E" w:rsidRPr="00CF0E0E" w:rsidRDefault="00CD50DA" w:rsidP="00A25320">
      <w:pPr>
        <w:spacing w:before="120"/>
      </w:pPr>
      <w:r>
        <w:t>Analysis of the results for t</w:t>
      </w:r>
      <w:r w:rsidR="008319FB">
        <w:t>he five portfolios</w:t>
      </w:r>
      <w:r>
        <w:t>,</w:t>
      </w:r>
      <w:r w:rsidR="008319FB">
        <w:t xml:space="preserve"> indicate</w:t>
      </w:r>
      <w:r>
        <w:t>s</w:t>
      </w:r>
      <w:r w:rsidR="00815F60">
        <w:t xml:space="preserve"> that g</w:t>
      </w:r>
      <w:r w:rsidR="00815F60" w:rsidRPr="00815F60">
        <w:t xml:space="preserve">eothermal </w:t>
      </w:r>
      <w:r w:rsidR="00815F60">
        <w:t xml:space="preserve">generation </w:t>
      </w:r>
      <w:r w:rsidR="00815F60" w:rsidRPr="00815F60">
        <w:t>is key in managing costs while meeting the RA and GHG goals.</w:t>
      </w:r>
      <w:r w:rsidR="00AD68B3">
        <w:rPr>
          <w:rStyle w:val="FootnoteReference"/>
        </w:rPr>
        <w:footnoteReference w:id="31"/>
      </w:r>
      <w:r w:rsidR="00815F60">
        <w:t xml:space="preserve"> </w:t>
      </w:r>
      <w:r w:rsidR="00A25320">
        <w:t xml:space="preserve"> </w:t>
      </w:r>
      <w:r w:rsidR="00815F60">
        <w:t xml:space="preserve">We consider geothermal as the proxy for other potential </w:t>
      </w:r>
      <w:r w:rsidR="004C0B6C">
        <w:t>baseload</w:t>
      </w:r>
      <w:r w:rsidR="00815F60">
        <w:t xml:space="preserve"> resource</w:t>
      </w:r>
      <w:r>
        <w:t>s</w:t>
      </w:r>
      <w:r w:rsidR="00815F60">
        <w:t xml:space="preserve">, such as biomass and landfill gas. </w:t>
      </w:r>
      <w:r w:rsidR="00A25320">
        <w:t xml:space="preserve"> </w:t>
      </w:r>
      <w:r w:rsidR="00815F60">
        <w:t xml:space="preserve">In </w:t>
      </w:r>
      <w:r w:rsidR="00F53510">
        <w:t>the f</w:t>
      </w:r>
      <w:r w:rsidR="00815F60">
        <w:t xml:space="preserve">uture, </w:t>
      </w:r>
      <w:r w:rsidR="00810CE7">
        <w:t>the District may be able to consider other clean firm resources, such as green hydrogen</w:t>
      </w:r>
      <w:r w:rsidR="00810CE7">
        <w:rPr>
          <w:rStyle w:val="FootnoteReference"/>
        </w:rPr>
        <w:footnoteReference w:id="32"/>
      </w:r>
      <w:r w:rsidR="00810CE7">
        <w:t xml:space="preserve"> </w:t>
      </w:r>
      <w:r w:rsidR="008319FB">
        <w:t>and SMR</w:t>
      </w:r>
      <w:r w:rsidR="004C0B6C">
        <w:t>,</w:t>
      </w:r>
      <w:r w:rsidR="008319FB">
        <w:t xml:space="preserve"> </w:t>
      </w:r>
      <w:r w:rsidR="00810CE7">
        <w:t xml:space="preserve">in its portfolio should </w:t>
      </w:r>
      <w:r w:rsidR="008319FB">
        <w:t>they</w:t>
      </w:r>
      <w:r w:rsidR="00810CE7">
        <w:t xml:space="preserve"> become </w:t>
      </w:r>
      <w:r w:rsidR="008319FB">
        <w:t xml:space="preserve">feasible and </w:t>
      </w:r>
      <w:r w:rsidR="00810CE7">
        <w:t>economical.</w:t>
      </w:r>
    </w:p>
    <w:p w14:paraId="256D7BA5" w14:textId="507DF76D" w:rsidR="00401DF6" w:rsidRPr="00874A11" w:rsidRDefault="00401DF6" w:rsidP="006C376E">
      <w:pPr>
        <w:pStyle w:val="Heading2"/>
        <w:rPr>
          <w:b w:val="0"/>
          <w:bCs w:val="0"/>
          <w:sz w:val="24"/>
          <w:szCs w:val="24"/>
        </w:rPr>
      </w:pPr>
      <w:bookmarkStart w:id="29" w:name="_Toc153273294"/>
      <w:bookmarkStart w:id="30" w:name="_Toc153451651"/>
      <w:r w:rsidRPr="00874A11">
        <w:rPr>
          <w:bCs w:val="0"/>
          <w:sz w:val="24"/>
          <w:szCs w:val="24"/>
        </w:rPr>
        <w:t>Sensitivity Analysis</w:t>
      </w:r>
      <w:bookmarkEnd w:id="29"/>
      <w:bookmarkEnd w:id="30"/>
    </w:p>
    <w:p w14:paraId="5D802D01" w14:textId="7E22BBD1" w:rsidR="003054CA" w:rsidRDefault="003054CA" w:rsidP="003054CA">
      <w:r>
        <w:t>As described earlier, i</w:t>
      </w:r>
      <w:r w:rsidRPr="003054CA">
        <w:t xml:space="preserve">n the TDPUD IRP model we have the capability to model </w:t>
      </w:r>
      <w:r>
        <w:t xml:space="preserve">multiple </w:t>
      </w:r>
      <w:r w:rsidRPr="003054CA">
        <w:t xml:space="preserve">scenarios. </w:t>
      </w:r>
      <w:r w:rsidR="00A25320">
        <w:t xml:space="preserve"> </w:t>
      </w:r>
      <w:r w:rsidRPr="003054CA">
        <w:t xml:space="preserve">For the Base scenario, we have made certain assumptions </w:t>
      </w:r>
      <w:r w:rsidR="00CD50DA">
        <w:t>about</w:t>
      </w:r>
      <w:r w:rsidRPr="003054CA">
        <w:t xml:space="preserve"> load </w:t>
      </w:r>
      <w:r w:rsidR="00CD50DA">
        <w:t>levels</w:t>
      </w:r>
      <w:r w:rsidRPr="003054CA">
        <w:t xml:space="preserve">, hydro conditions, gas/energy prices, availability of PPA resources at certain prices, etc. </w:t>
      </w:r>
      <w:r w:rsidR="00A25320">
        <w:t xml:space="preserve"> </w:t>
      </w:r>
      <w:r w:rsidRPr="003054CA">
        <w:t>For th</w:t>
      </w:r>
      <w:r w:rsidR="00CD50DA">
        <w:t>e</w:t>
      </w:r>
      <w:r w:rsidRPr="003054CA">
        <w:t xml:space="preserve"> Base scenario, we have developed a recommended portfolio with a certain combination of PPA resources and evaluated its performance given the Base Scenario assumptions. </w:t>
      </w:r>
      <w:r w:rsidR="00A25320">
        <w:t xml:space="preserve"> </w:t>
      </w:r>
      <w:r w:rsidRPr="003054CA">
        <w:t xml:space="preserve">We also evaluated the performance of additional resource portfolios (such as NNP, No CVP/Stampede, etc.) with different combinations of PPA resources and market purchases given the Base scenario assumptions. </w:t>
      </w:r>
    </w:p>
    <w:p w14:paraId="5C6B46C6" w14:textId="77777777" w:rsidR="003054CA" w:rsidRDefault="003054CA" w:rsidP="003054CA"/>
    <w:p w14:paraId="15DF0D51" w14:textId="7BDA0AA7" w:rsidR="00FA3E27" w:rsidRDefault="00CD50DA" w:rsidP="003054CA">
      <w:r>
        <w:t>We also developed a range of</w:t>
      </w:r>
      <w:r w:rsidR="003054CA" w:rsidRPr="003054CA">
        <w:t xml:space="preserve"> sensitivit</w:t>
      </w:r>
      <w:r>
        <w:t>y values</w:t>
      </w:r>
      <w:r w:rsidR="003054CA" w:rsidRPr="003054CA">
        <w:t xml:space="preserve"> for key variables, such as Hydro conditions, Loads, Natural Gas/Energy Market </w:t>
      </w:r>
      <w:r w:rsidR="00755986">
        <w:t>p</w:t>
      </w:r>
      <w:r w:rsidR="003054CA" w:rsidRPr="003054CA">
        <w:t xml:space="preserve">rices, PPA </w:t>
      </w:r>
      <w:r w:rsidR="00755986">
        <w:t>p</w:t>
      </w:r>
      <w:r w:rsidR="003054CA" w:rsidRPr="003054CA">
        <w:t xml:space="preserve">rice, </w:t>
      </w:r>
      <w:r w:rsidR="004C0B6C">
        <w:t>5-year</w:t>
      </w:r>
      <w:r w:rsidR="003054CA" w:rsidRPr="003054CA">
        <w:t xml:space="preserve"> Market Purchase </w:t>
      </w:r>
      <w:r w:rsidR="00755986">
        <w:t>p</w:t>
      </w:r>
      <w:r w:rsidR="003054CA" w:rsidRPr="003054CA">
        <w:t>rice, Resource Adequacy Counting, etc. that could affect the performance of the alternative portfolios</w:t>
      </w:r>
      <w:r w:rsidR="003054CA">
        <w:t xml:space="preserve"> consistent with the IRP methodology step 5</w:t>
      </w:r>
      <w:r w:rsidR="003054CA" w:rsidRPr="003054CA">
        <w:t xml:space="preserve">.  </w:t>
      </w:r>
      <w:r w:rsidR="00FA3E27">
        <w:t>In Table 1</w:t>
      </w:r>
      <w:r w:rsidR="005D5D9F">
        <w:t>0</w:t>
      </w:r>
      <w:r w:rsidR="00FA3E27">
        <w:t xml:space="preserve">, we summarize the </w:t>
      </w:r>
      <w:r>
        <w:t xml:space="preserve">changes to the </w:t>
      </w:r>
      <w:r w:rsidR="00FA3E27">
        <w:t xml:space="preserve">key variables </w:t>
      </w:r>
      <w:r>
        <w:t>used in</w:t>
      </w:r>
      <w:r w:rsidR="00FA3E27">
        <w:t xml:space="preserve"> the sensitivity analysis. For example, the geothermal PPA price is assumed to be 25% higher in the High scenario relative to the Base scenario, whereas the Solar PPA prices </w:t>
      </w:r>
      <w:r>
        <w:t xml:space="preserve">are </w:t>
      </w:r>
      <w:r w:rsidR="00FA3E27">
        <w:t xml:space="preserve">assumed to be 8% lower and 15% higher relative to the Base scenario in the Low and High scenarios, respectively. Early Hydro sensitivity changes the hydro condition pattern </w:t>
      </w:r>
      <w:r>
        <w:t xml:space="preserve">compared to </w:t>
      </w:r>
      <w:r w:rsidR="00FA3E27">
        <w:t xml:space="preserve">the Base scenario (see Table 4). </w:t>
      </w:r>
      <w:r w:rsidR="00A25320">
        <w:t xml:space="preserve"> </w:t>
      </w:r>
      <w:r w:rsidR="00FA3E27">
        <w:t>The Low Early Hydro scenario assumes all three early years to be wet, driving the overall cost of procurement down.</w:t>
      </w:r>
      <w:r w:rsidR="00A25320">
        <w:t xml:space="preserve"> </w:t>
      </w:r>
      <w:r w:rsidR="00FA3E27">
        <w:t xml:space="preserve"> </w:t>
      </w:r>
      <w:r>
        <w:t>In contrast</w:t>
      </w:r>
      <w:r w:rsidR="00FA3E27">
        <w:t>, the High Early Hydro scenario assumes all three early years to be dry, which drives up the overall cost of procurement relative to the Base scenario.</w:t>
      </w:r>
    </w:p>
    <w:p w14:paraId="2B8B7F62" w14:textId="77777777" w:rsidR="00FA3E27" w:rsidRDefault="00FA3E27" w:rsidP="003054CA"/>
    <w:p w14:paraId="543F9614" w14:textId="3ACF4B9C" w:rsidR="00FA3E27" w:rsidRPr="00874A11" w:rsidRDefault="00FA3E27" w:rsidP="00B52E15">
      <w:pPr>
        <w:spacing w:after="120"/>
        <w:jc w:val="center"/>
        <w:rPr>
          <w:b/>
          <w:bCs/>
        </w:rPr>
      </w:pPr>
      <w:r w:rsidRPr="00874A11">
        <w:rPr>
          <w:b/>
          <w:bCs/>
        </w:rPr>
        <w:t>Table 1</w:t>
      </w:r>
      <w:r w:rsidR="005D5D9F">
        <w:rPr>
          <w:b/>
          <w:bCs/>
        </w:rPr>
        <w:t>0</w:t>
      </w:r>
      <w:r w:rsidRPr="00874A11">
        <w:rPr>
          <w:b/>
          <w:bCs/>
        </w:rPr>
        <w:t xml:space="preserve">: Key </w:t>
      </w:r>
      <w:r w:rsidR="001023FD">
        <w:rPr>
          <w:b/>
          <w:bCs/>
        </w:rPr>
        <w:t>Parameters</w:t>
      </w:r>
      <w:r w:rsidRPr="00874A11">
        <w:rPr>
          <w:b/>
          <w:bCs/>
        </w:rPr>
        <w:t xml:space="preserve"> Considered Under Sensitivity Analysis</w:t>
      </w:r>
    </w:p>
    <w:p w14:paraId="5D9E7EDF" w14:textId="0C01EF71" w:rsidR="00FA3E27" w:rsidRDefault="001023FD" w:rsidP="00874A11">
      <w:pPr>
        <w:jc w:val="center"/>
      </w:pPr>
      <w:r w:rsidRPr="001023FD">
        <w:rPr>
          <w:noProof/>
        </w:rPr>
        <w:drawing>
          <wp:inline distT="0" distB="0" distL="0" distR="0" wp14:anchorId="414B747A" wp14:editId="139FA660">
            <wp:extent cx="5536015" cy="2790483"/>
            <wp:effectExtent l="0" t="0" r="1270" b="0"/>
            <wp:docPr id="803974419" name="Picture 803974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974419" name=""/>
                    <pic:cNvPicPr/>
                  </pic:nvPicPr>
                  <pic:blipFill>
                    <a:blip r:embed="rId50"/>
                    <a:stretch>
                      <a:fillRect/>
                    </a:stretch>
                  </pic:blipFill>
                  <pic:spPr>
                    <a:xfrm>
                      <a:off x="0" y="0"/>
                      <a:ext cx="5552535" cy="2798810"/>
                    </a:xfrm>
                    <a:prstGeom prst="rect">
                      <a:avLst/>
                    </a:prstGeom>
                  </pic:spPr>
                </pic:pic>
              </a:graphicData>
            </a:graphic>
          </wp:inline>
        </w:drawing>
      </w:r>
    </w:p>
    <w:p w14:paraId="26DA3994" w14:textId="68C271F8" w:rsidR="001023FD" w:rsidRDefault="00945EC4" w:rsidP="00A25320">
      <w:pPr>
        <w:spacing w:before="120"/>
      </w:pPr>
      <w:r w:rsidRPr="00945EC4">
        <w:t xml:space="preserve">We </w:t>
      </w:r>
      <w:r w:rsidR="00755986">
        <w:t>stress-tested</w:t>
      </w:r>
      <w:r w:rsidRPr="00945EC4">
        <w:t xml:space="preserve"> the performance of the Recommended portfolio</w:t>
      </w:r>
      <w:r w:rsidR="00CD50DA">
        <w:t xml:space="preserve"> using</w:t>
      </w:r>
      <w:r w:rsidRPr="00945EC4">
        <w:t xml:space="preserve"> the extreme ranges of each sensitivity parameter</w:t>
      </w:r>
      <w:r w:rsidR="00CD50DA">
        <w:t xml:space="preserve">, </w:t>
      </w:r>
      <w:r w:rsidRPr="00945EC4">
        <w:t>changing one variable at a time</w:t>
      </w:r>
      <w:r w:rsidR="00CD50DA">
        <w:t xml:space="preserve">, as shown in a tornado diagram in Figure </w:t>
      </w:r>
      <w:r w:rsidR="00502CEA">
        <w:t>14</w:t>
      </w:r>
      <w:r w:rsidRPr="00945EC4">
        <w:t>.</w:t>
      </w:r>
      <w:r w:rsidR="00A25320">
        <w:t xml:space="preserve"> </w:t>
      </w:r>
      <w:r w:rsidRPr="00945EC4">
        <w:t xml:space="preserve"> Various combinations of these sensitivities can be developed to create additional scenarios to further test the robustness of the alternative portfolios, though for simplicity</w:t>
      </w:r>
      <w:r w:rsidR="003367E3">
        <w:t>,</w:t>
      </w:r>
      <w:r w:rsidRPr="00945EC4">
        <w:t xml:space="preserve"> the IRP study has concentrated on evaluating Portfolio performance with single sensitivity parameter changes.</w:t>
      </w:r>
      <w:r w:rsidR="00F91BF2">
        <w:t xml:space="preserve"> </w:t>
      </w:r>
    </w:p>
    <w:p w14:paraId="3E7754C4" w14:textId="77777777" w:rsidR="00945EC4" w:rsidRDefault="00945EC4" w:rsidP="001023FD"/>
    <w:p w14:paraId="5BA27644" w14:textId="77777777" w:rsidR="00E14A22" w:rsidRDefault="00E14A22">
      <w:pPr>
        <w:spacing w:after="200" w:line="276" w:lineRule="auto"/>
        <w:rPr>
          <w:b/>
          <w:bCs/>
        </w:rPr>
      </w:pPr>
      <w:r>
        <w:rPr>
          <w:b/>
          <w:bCs/>
        </w:rPr>
        <w:br w:type="page"/>
      </w:r>
    </w:p>
    <w:p w14:paraId="7EB30AC0" w14:textId="0CA8ED34" w:rsidR="001023FD" w:rsidRPr="00874A11" w:rsidRDefault="001023FD" w:rsidP="00874A11">
      <w:pPr>
        <w:jc w:val="center"/>
        <w:rPr>
          <w:b/>
          <w:bCs/>
        </w:rPr>
      </w:pPr>
      <w:r w:rsidRPr="00874A11">
        <w:rPr>
          <w:b/>
          <w:bCs/>
        </w:rPr>
        <w:lastRenderedPageBreak/>
        <w:t xml:space="preserve">Figure </w:t>
      </w:r>
      <w:r w:rsidR="00502CEA">
        <w:rPr>
          <w:b/>
          <w:bCs/>
        </w:rPr>
        <w:t>14</w:t>
      </w:r>
      <w:r w:rsidRPr="00874A11">
        <w:rPr>
          <w:b/>
          <w:bCs/>
        </w:rPr>
        <w:t>: Recommended Portfolio Perfor</w:t>
      </w:r>
      <w:r>
        <w:rPr>
          <w:b/>
          <w:bCs/>
        </w:rPr>
        <w:t>mance</w:t>
      </w:r>
      <w:r w:rsidRPr="00874A11">
        <w:rPr>
          <w:b/>
          <w:bCs/>
        </w:rPr>
        <w:t xml:space="preserve"> Under Uncertainty</w:t>
      </w:r>
    </w:p>
    <w:p w14:paraId="49A83964" w14:textId="600D3111" w:rsidR="003054CA" w:rsidRPr="003054CA" w:rsidRDefault="003367E3" w:rsidP="000F0F73">
      <w:pPr>
        <w:jc w:val="center"/>
      </w:pPr>
      <w:r>
        <w:rPr>
          <w:noProof/>
        </w:rPr>
        <w:drawing>
          <wp:inline distT="0" distB="0" distL="0" distR="0" wp14:anchorId="3ECC35A6" wp14:editId="110F3330">
            <wp:extent cx="5394960" cy="4502140"/>
            <wp:effectExtent l="0" t="0" r="2540" b="0"/>
            <wp:docPr id="784945901" name="Picture 784945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945901" name=""/>
                    <pic:cNvPicPr/>
                  </pic:nvPicPr>
                  <pic:blipFill>
                    <a:blip r:embed="rId51"/>
                    <a:stretch>
                      <a:fillRect/>
                    </a:stretch>
                  </pic:blipFill>
                  <pic:spPr>
                    <a:xfrm>
                      <a:off x="0" y="0"/>
                      <a:ext cx="5402702" cy="4508601"/>
                    </a:xfrm>
                    <a:prstGeom prst="rect">
                      <a:avLst/>
                    </a:prstGeom>
                  </pic:spPr>
                </pic:pic>
              </a:graphicData>
            </a:graphic>
          </wp:inline>
        </w:drawing>
      </w:r>
    </w:p>
    <w:p w14:paraId="2FB530FD" w14:textId="77777777" w:rsidR="001023FD" w:rsidRDefault="001023FD" w:rsidP="001023FD"/>
    <w:p w14:paraId="50254684" w14:textId="4B0E3F70" w:rsidR="001023FD" w:rsidRDefault="001023FD" w:rsidP="001023FD">
      <w:r>
        <w:t xml:space="preserve">As shown in Figure </w:t>
      </w:r>
      <w:r w:rsidR="00502CEA">
        <w:t>14</w:t>
      </w:r>
      <w:r>
        <w:t>, the Recommended p</w:t>
      </w:r>
      <w:r w:rsidRPr="00874A11">
        <w:t>ortfolio costs</w:t>
      </w:r>
      <w:r w:rsidR="00D01F35">
        <w:t xml:space="preserve"> </w:t>
      </w:r>
      <w:r w:rsidRPr="00874A11">
        <w:t xml:space="preserve">are most sensitive to </w:t>
      </w:r>
      <w:r w:rsidR="00D01F35">
        <w:t xml:space="preserve">changes in </w:t>
      </w:r>
      <w:r w:rsidRPr="00874A11">
        <w:t xml:space="preserve">the load assumptions. </w:t>
      </w:r>
      <w:r w:rsidR="000C24CC">
        <w:t xml:space="preserve">Under the high load forecast, the portfolio cost increased by approximately $12 million to </w:t>
      </w:r>
      <w:r w:rsidR="00D01F35">
        <w:t xml:space="preserve">a total of </w:t>
      </w:r>
      <w:r w:rsidR="000C24CC">
        <w:t>$</w:t>
      </w:r>
      <w:r w:rsidR="00247CA2">
        <w:t xml:space="preserve">213 </w:t>
      </w:r>
      <w:r w:rsidR="000C24CC">
        <w:t>million</w:t>
      </w:r>
      <w:r w:rsidR="00D01F35">
        <w:t xml:space="preserve"> NPV</w:t>
      </w:r>
      <w:r w:rsidR="000C24CC">
        <w:t>.</w:t>
      </w:r>
      <w:r>
        <w:t xml:space="preserve"> </w:t>
      </w:r>
      <w:r w:rsidR="00A25320">
        <w:t xml:space="preserve"> </w:t>
      </w:r>
      <w:r w:rsidR="00D01F35">
        <w:t>T</w:t>
      </w:r>
      <w:r>
        <w:t xml:space="preserve">his portfolio is also sensitive to the </w:t>
      </w:r>
      <w:r w:rsidRPr="00C855C7">
        <w:t>PPA price,</w:t>
      </w:r>
      <w:r>
        <w:t xml:space="preserve"> especially on the higher side</w:t>
      </w:r>
      <w:r w:rsidR="00D01F35">
        <w:t>, given the large portion of PPA contracted resources in this portfolio</w:t>
      </w:r>
      <w:r>
        <w:t>.</w:t>
      </w:r>
      <w:r w:rsidRPr="00C855C7">
        <w:t xml:space="preserve"> </w:t>
      </w:r>
      <w:r w:rsidRPr="00874A11">
        <w:t>NVE transmission charges have some impact on costs, but only local resources</w:t>
      </w:r>
      <w:r>
        <w:t xml:space="preserve"> (community solar and TDPUD 4-hour storage)</w:t>
      </w:r>
      <w:r w:rsidRPr="00874A11">
        <w:t xml:space="preserve"> can avoid the</w:t>
      </w:r>
      <w:r>
        <w:t>se</w:t>
      </w:r>
      <w:r w:rsidRPr="00874A11">
        <w:t xml:space="preserve"> charges</w:t>
      </w:r>
      <w:r w:rsidR="003367E3">
        <w:t>,</w:t>
      </w:r>
      <w:r w:rsidRPr="00874A11">
        <w:t xml:space="preserve"> and limitations on the amount of such resources make this a less important decision factor</w:t>
      </w:r>
      <w:r>
        <w:t xml:space="preserve">. </w:t>
      </w:r>
      <w:r w:rsidR="00A25320">
        <w:t xml:space="preserve"> </w:t>
      </w:r>
      <w:r w:rsidRPr="00874A11">
        <w:t xml:space="preserve">The NG/Energy Market </w:t>
      </w:r>
      <w:r w:rsidR="00755986">
        <w:t>p</w:t>
      </w:r>
      <w:r w:rsidRPr="00874A11">
        <w:t xml:space="preserve">rice, and RA uncertainties have </w:t>
      </w:r>
      <w:r>
        <w:t xml:space="preserve">only </w:t>
      </w:r>
      <w:r w:rsidRPr="00874A11">
        <w:t>moderate cost impacts</w:t>
      </w:r>
      <w:r>
        <w:t xml:space="preserve"> as this portfolio hedges those risks via significant long-term contracting. </w:t>
      </w:r>
      <w:r w:rsidR="00A25320">
        <w:t xml:space="preserve"> </w:t>
      </w:r>
      <w:r w:rsidRPr="00874A11">
        <w:t xml:space="preserve">All other uncertainties are </w:t>
      </w:r>
      <w:r w:rsidRPr="001023FD">
        <w:t>insignificant.</w:t>
      </w:r>
      <w:r w:rsidR="00A25320">
        <w:t xml:space="preserve"> </w:t>
      </w:r>
      <w:r w:rsidR="002614AF">
        <w:t xml:space="preserve"> Overall, the Recommended portfolio performs very well under uncertainty.</w:t>
      </w:r>
    </w:p>
    <w:p w14:paraId="1F99795B" w14:textId="77777777" w:rsidR="002614AF" w:rsidRDefault="002614AF" w:rsidP="001023FD"/>
    <w:p w14:paraId="43C6DBDC" w14:textId="3BFECE72" w:rsidR="002614AF" w:rsidRDefault="002614AF" w:rsidP="002614AF">
      <w:r>
        <w:t>On the other hand, the NNP portfolio performs very poorly, and has a higher exposure to uncertainty</w:t>
      </w:r>
      <w:r w:rsidR="00755986">
        <w:t>,</w:t>
      </w:r>
      <w:r>
        <w:t xml:space="preserve"> as shown in Figure </w:t>
      </w:r>
      <w:r w:rsidR="00502CEA">
        <w:t>15</w:t>
      </w:r>
      <w:r>
        <w:t>.</w:t>
      </w:r>
      <w:r w:rsidR="00AD68B3">
        <w:rPr>
          <w:rStyle w:val="FootnoteReference"/>
        </w:rPr>
        <w:footnoteReference w:id="33"/>
      </w:r>
      <w:r>
        <w:t xml:space="preserve"> </w:t>
      </w:r>
      <w:r w:rsidR="00A25320">
        <w:t xml:space="preserve"> </w:t>
      </w:r>
      <w:r w:rsidRPr="002614AF">
        <w:t>The expected cost of NNP</w:t>
      </w:r>
      <w:r w:rsidR="00D01F35">
        <w:t xml:space="preserve"> </w:t>
      </w:r>
      <w:r>
        <w:t>of $</w:t>
      </w:r>
      <w:r w:rsidR="00247CA2">
        <w:t>229</w:t>
      </w:r>
      <w:r w:rsidR="00004883">
        <w:t>.</w:t>
      </w:r>
      <w:r w:rsidR="00247CA2">
        <w:t>0</w:t>
      </w:r>
      <w:r>
        <w:t xml:space="preserve"> million NPV</w:t>
      </w:r>
      <w:r w:rsidRPr="002614AF">
        <w:t xml:space="preserve"> is significantly higher than the Recommended Portfolio. </w:t>
      </w:r>
      <w:r w:rsidR="00A25320">
        <w:t xml:space="preserve"> </w:t>
      </w:r>
      <w:r w:rsidRPr="002614AF">
        <w:t>It is even costlier</w:t>
      </w:r>
      <w:r w:rsidR="00247CA2">
        <w:t xml:space="preserve"> at $257 million,</w:t>
      </w:r>
      <w:r w:rsidRPr="002614AF">
        <w:t xml:space="preserve"> if the loads are higher than anticipated</w:t>
      </w:r>
      <w:r>
        <w:t xml:space="preserve">. </w:t>
      </w:r>
      <w:r w:rsidR="00A25320">
        <w:t xml:space="preserve"> </w:t>
      </w:r>
      <w:r>
        <w:t xml:space="preserve">The </w:t>
      </w:r>
      <w:r w:rsidRPr="002614AF">
        <w:t xml:space="preserve">NG/Energy Marker Price volatility is extremely high </w:t>
      </w:r>
      <w:r w:rsidR="00D01F35">
        <w:t xml:space="preserve">for </w:t>
      </w:r>
      <w:r w:rsidR="00D01F35">
        <w:lastRenderedPageBreak/>
        <w:t xml:space="preserve">the NNP portfolio </w:t>
      </w:r>
      <w:r w:rsidRPr="002614AF">
        <w:t>due to high reliance on the market price purchases.</w:t>
      </w:r>
      <w:r>
        <w:t xml:space="preserve"> </w:t>
      </w:r>
      <w:r w:rsidR="00A25320">
        <w:t xml:space="preserve"> </w:t>
      </w:r>
      <w:r w:rsidRPr="002614AF">
        <w:t xml:space="preserve">The PPA price has no </w:t>
      </w:r>
      <w:r w:rsidR="00D01F35">
        <w:t xml:space="preserve">impact </w:t>
      </w:r>
      <w:r w:rsidR="0068276B">
        <w:t>on</w:t>
      </w:r>
      <w:r w:rsidR="00D01F35">
        <w:t xml:space="preserve"> </w:t>
      </w:r>
      <w:r w:rsidRPr="002614AF">
        <w:t xml:space="preserve">cost </w:t>
      </w:r>
      <w:r w:rsidR="00D01F35">
        <w:t>uncertainty</w:t>
      </w:r>
      <w:r w:rsidR="00D01F35" w:rsidRPr="002614AF">
        <w:t xml:space="preserve"> </w:t>
      </w:r>
      <w:r w:rsidRPr="002614AF">
        <w:t>as no new resources are being procured</w:t>
      </w:r>
      <w:r>
        <w:t>.</w:t>
      </w:r>
    </w:p>
    <w:p w14:paraId="339F9226" w14:textId="77777777" w:rsidR="002614AF" w:rsidRDefault="002614AF" w:rsidP="001023FD"/>
    <w:p w14:paraId="62788DF2" w14:textId="5853A7C1" w:rsidR="002614AF" w:rsidRPr="00C855C7" w:rsidRDefault="002614AF" w:rsidP="002614AF">
      <w:pPr>
        <w:jc w:val="center"/>
        <w:rPr>
          <w:b/>
          <w:bCs/>
        </w:rPr>
      </w:pPr>
      <w:r w:rsidRPr="00C855C7">
        <w:rPr>
          <w:b/>
          <w:bCs/>
        </w:rPr>
        <w:t xml:space="preserve">Figure </w:t>
      </w:r>
      <w:r w:rsidR="00502CEA">
        <w:rPr>
          <w:b/>
          <w:bCs/>
        </w:rPr>
        <w:t>15</w:t>
      </w:r>
      <w:r w:rsidRPr="00C855C7">
        <w:rPr>
          <w:b/>
          <w:bCs/>
        </w:rPr>
        <w:t xml:space="preserve">: </w:t>
      </w:r>
      <w:r>
        <w:rPr>
          <w:b/>
          <w:bCs/>
        </w:rPr>
        <w:t>NNP</w:t>
      </w:r>
      <w:r w:rsidRPr="00C855C7">
        <w:rPr>
          <w:b/>
          <w:bCs/>
        </w:rPr>
        <w:t xml:space="preserve"> Portfolio Perfor</w:t>
      </w:r>
      <w:r>
        <w:rPr>
          <w:b/>
          <w:bCs/>
        </w:rPr>
        <w:t>mance</w:t>
      </w:r>
      <w:r w:rsidRPr="00C855C7">
        <w:rPr>
          <w:b/>
          <w:bCs/>
        </w:rPr>
        <w:t xml:space="preserve"> Under Uncertainty</w:t>
      </w:r>
    </w:p>
    <w:p w14:paraId="74F11F9F" w14:textId="70C84C75" w:rsidR="002614AF" w:rsidRPr="00874A11" w:rsidRDefault="003367E3" w:rsidP="00874A11">
      <w:pPr>
        <w:jc w:val="center"/>
      </w:pPr>
      <w:r>
        <w:rPr>
          <w:noProof/>
        </w:rPr>
        <w:drawing>
          <wp:inline distT="0" distB="0" distL="0" distR="0" wp14:anchorId="3E05E764" wp14:editId="10F979F9">
            <wp:extent cx="5669280" cy="4731063"/>
            <wp:effectExtent l="0" t="0" r="0" b="6350"/>
            <wp:docPr id="1375662732" name="Picture 1375662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662732" name=""/>
                    <pic:cNvPicPr/>
                  </pic:nvPicPr>
                  <pic:blipFill>
                    <a:blip r:embed="rId52"/>
                    <a:stretch>
                      <a:fillRect/>
                    </a:stretch>
                  </pic:blipFill>
                  <pic:spPr>
                    <a:xfrm>
                      <a:off x="0" y="0"/>
                      <a:ext cx="5672348" cy="4733623"/>
                    </a:xfrm>
                    <a:prstGeom prst="rect">
                      <a:avLst/>
                    </a:prstGeom>
                  </pic:spPr>
                </pic:pic>
              </a:graphicData>
            </a:graphic>
          </wp:inline>
        </w:drawing>
      </w:r>
    </w:p>
    <w:p w14:paraId="6A0D8D91" w14:textId="5B1D6E2E" w:rsidR="00806408" w:rsidRPr="00E8355E" w:rsidRDefault="00A55BDB" w:rsidP="00806408">
      <w:pPr>
        <w:pStyle w:val="Heading1"/>
        <w:shd w:val="clear" w:color="auto" w:fill="007033"/>
        <w:rPr>
          <w:color w:val="FFFFFF" w:themeColor="background1"/>
        </w:rPr>
      </w:pPr>
      <w:bookmarkStart w:id="31" w:name="_Toc153273295"/>
      <w:bookmarkStart w:id="32" w:name="_Toc153451652"/>
      <w:r>
        <w:rPr>
          <w:color w:val="FFFFFF" w:themeColor="background1"/>
        </w:rPr>
        <w:t>Conclusion</w:t>
      </w:r>
      <w:bookmarkEnd w:id="31"/>
      <w:bookmarkEnd w:id="32"/>
    </w:p>
    <w:p w14:paraId="407E40F2" w14:textId="52B745B2" w:rsidR="00337AC2" w:rsidRDefault="00337AC2" w:rsidP="00337AC2">
      <w:r>
        <w:t>Overall, the Recommended portfolio</w:t>
      </w:r>
      <w:r w:rsidR="003B5502">
        <w:t xml:space="preserve"> meets all projected demand and</w:t>
      </w:r>
      <w:r w:rsidRPr="00945EC4">
        <w:t xml:space="preserve"> is reliable in terms of maintaining planning reserve margin.</w:t>
      </w:r>
      <w:r w:rsidR="00A25320">
        <w:t xml:space="preserve"> </w:t>
      </w:r>
      <w:r>
        <w:t xml:space="preserve"> </w:t>
      </w:r>
      <w:r w:rsidRPr="00945EC4">
        <w:t xml:space="preserve">It has </w:t>
      </w:r>
      <w:r>
        <w:t xml:space="preserve">one of </w:t>
      </w:r>
      <w:r w:rsidRPr="00945EC4">
        <w:t xml:space="preserve">the lowest overall </w:t>
      </w:r>
      <w:proofErr w:type="gramStart"/>
      <w:r w:rsidRPr="00945EC4">
        <w:t>cost</w:t>
      </w:r>
      <w:proofErr w:type="gramEnd"/>
      <w:r w:rsidRPr="00945EC4">
        <w:t xml:space="preserve"> of procurement, and reduces exposure to market volatility.</w:t>
      </w:r>
      <w:r>
        <w:t xml:space="preserve"> </w:t>
      </w:r>
      <w:r w:rsidR="00A25320">
        <w:t xml:space="preserve"> </w:t>
      </w:r>
      <w:r>
        <w:t>It c</w:t>
      </w:r>
      <w:r w:rsidRPr="00945EC4">
        <w:t>omplies with the State’s environmental goals and policies.</w:t>
      </w:r>
      <w:r>
        <w:t xml:space="preserve"> </w:t>
      </w:r>
      <w:r w:rsidR="00A25320">
        <w:t xml:space="preserve"> </w:t>
      </w:r>
      <w:r>
        <w:t>It i</w:t>
      </w:r>
      <w:r w:rsidRPr="00945EC4">
        <w:t xml:space="preserve">ncludes </w:t>
      </w:r>
      <w:r>
        <w:t xml:space="preserve">required </w:t>
      </w:r>
      <w:r w:rsidRPr="00945EC4">
        <w:t>resource diversity</w:t>
      </w:r>
      <w:r>
        <w:t xml:space="preserve"> and is </w:t>
      </w:r>
      <w:r w:rsidRPr="00945EC4">
        <w:t>a good fit in terms of balancing resources against loads.</w:t>
      </w:r>
      <w:r>
        <w:t xml:space="preserve"> </w:t>
      </w:r>
      <w:r w:rsidR="00A25320">
        <w:t xml:space="preserve"> </w:t>
      </w:r>
      <w:r>
        <w:t xml:space="preserve">We have also tested that the Recommended portfolio performs </w:t>
      </w:r>
      <w:r w:rsidRPr="00945EC4">
        <w:t>well under a range of sensitivities.</w:t>
      </w:r>
      <w:r w:rsidR="00A25320">
        <w:t xml:space="preserve"> </w:t>
      </w:r>
      <w:r>
        <w:t xml:space="preserve"> We recommend that the District explore the potential for increasing the proportion of geothermal or other baseload resources into the Recommended portfolio, with a corresponding decrease in reliance on solar plus storage, since this potentially could result in lower overall costs</w:t>
      </w:r>
      <w:r w:rsidR="003B5502">
        <w:t>, while also increasing resource diversity</w:t>
      </w:r>
    </w:p>
    <w:p w14:paraId="7AC9B4B4" w14:textId="77777777" w:rsidR="001C211C" w:rsidRDefault="001C211C" w:rsidP="00A21E6F">
      <w:pPr>
        <w:spacing w:before="120"/>
        <w:rPr>
          <w:color w:val="000000" w:themeColor="text1"/>
        </w:rPr>
      </w:pPr>
    </w:p>
    <w:p w14:paraId="5E1E0140" w14:textId="77777777" w:rsidR="00BC5F64" w:rsidRDefault="00BC5F64" w:rsidP="005436C4">
      <w:pPr>
        <w:pStyle w:val="Heading1"/>
        <w:shd w:val="clear" w:color="auto" w:fill="007033"/>
        <w:rPr>
          <w:color w:val="FFFFFF" w:themeColor="background1"/>
        </w:rPr>
        <w:sectPr w:rsidR="00BC5F64" w:rsidSect="00DE157C">
          <w:pgSz w:w="12240" w:h="15840"/>
          <w:pgMar w:top="1440" w:right="1440" w:bottom="1440" w:left="1440" w:header="720" w:footer="576" w:gutter="0"/>
          <w:cols w:space="720"/>
          <w:docGrid w:linePitch="360"/>
        </w:sectPr>
      </w:pPr>
    </w:p>
    <w:p w14:paraId="23A2BE6A" w14:textId="7455A4B9" w:rsidR="005436C4" w:rsidRPr="00E8355E" w:rsidRDefault="005436C4" w:rsidP="005436C4">
      <w:pPr>
        <w:pStyle w:val="Heading1"/>
        <w:shd w:val="clear" w:color="auto" w:fill="007033"/>
        <w:rPr>
          <w:color w:val="FFFFFF" w:themeColor="background1"/>
        </w:rPr>
      </w:pPr>
      <w:bookmarkStart w:id="33" w:name="_Toc153273296"/>
      <w:bookmarkStart w:id="34" w:name="_Toc153451653"/>
      <w:r>
        <w:rPr>
          <w:color w:val="FFFFFF" w:themeColor="background1"/>
        </w:rPr>
        <w:lastRenderedPageBreak/>
        <w:t>Appendix A: District’s Compliance with Key State Policy Legislation and Goals</w:t>
      </w:r>
      <w:bookmarkEnd w:id="33"/>
      <w:bookmarkEnd w:id="34"/>
    </w:p>
    <w:p w14:paraId="62B53987" w14:textId="07C25243" w:rsidR="005436C4" w:rsidRDefault="005436C4" w:rsidP="00B40F48">
      <w:pPr>
        <w:pStyle w:val="Default"/>
        <w:spacing w:before="120"/>
        <w:rPr>
          <w:b/>
          <w:bCs/>
          <w:sz w:val="23"/>
          <w:szCs w:val="23"/>
        </w:rPr>
      </w:pPr>
      <w:r>
        <w:rPr>
          <w:b/>
          <w:bCs/>
          <w:sz w:val="23"/>
          <w:szCs w:val="23"/>
        </w:rPr>
        <w:t xml:space="preserve">District’s Compliance with Renewable Portfolio Standard (RPS) </w:t>
      </w:r>
    </w:p>
    <w:p w14:paraId="2992F144" w14:textId="14D67929" w:rsidR="005436C4" w:rsidRPr="00810CE7" w:rsidRDefault="005436C4" w:rsidP="005436C4">
      <w:r w:rsidRPr="00874A11">
        <w:t>On October 2, 2013</w:t>
      </w:r>
      <w:r w:rsidR="004C0B6C">
        <w:t>,</w:t>
      </w:r>
      <w:r w:rsidRPr="00874A11">
        <w:t xml:space="preserve"> the </w:t>
      </w:r>
      <w:r w:rsidR="0074735A" w:rsidRPr="00810CE7">
        <w:t xml:space="preserve">District </w:t>
      </w:r>
      <w:r w:rsidRPr="00874A11">
        <w:t xml:space="preserve">Board approved the Renewable Energy Resources Procurement Plan per the requirements of Senate Bill (SB) X1-2 (2011). </w:t>
      </w:r>
      <w:r w:rsidR="00A25320">
        <w:t xml:space="preserve"> </w:t>
      </w:r>
      <w:r w:rsidRPr="00874A11">
        <w:t xml:space="preserve">This plan defined the minimum required percentage (RPS) of renewable energy resources compared to retail sales per three-year compliance period to the end of 2020. </w:t>
      </w:r>
      <w:r w:rsidR="00A25320">
        <w:t xml:space="preserve"> </w:t>
      </w:r>
      <w:r w:rsidRPr="00874A11">
        <w:t xml:space="preserve">Other legislation has increased the RPS requirements and extended the compliance periods to the end of 2030. </w:t>
      </w:r>
      <w:r w:rsidR="00A25320">
        <w:t xml:space="preserve"> </w:t>
      </w:r>
      <w:r w:rsidRPr="00874A11">
        <w:t>In 2015, SB 350 was signed into law, which mandated a 50% RPS by December 31, 2030. In 2018, SB 100 was signed into law, which increase</w:t>
      </w:r>
      <w:r w:rsidR="001C4034">
        <w:t>d</w:t>
      </w:r>
      <w:r w:rsidRPr="00874A11">
        <w:t xml:space="preserve"> the RPS to 60% by 2030 and requires all state's electricity to come from carbon-free or clean resources by 2045. </w:t>
      </w:r>
      <w:r w:rsidR="00A25320">
        <w:t xml:space="preserve"> </w:t>
      </w:r>
      <w:r w:rsidRPr="00874A11">
        <w:t xml:space="preserve">In addition, lawmakers passed SB 1020 in 2022, which requires 90% clean electricity by the end of 2035 and 95% by the end of 2040 as intermediate milestones to the target of 100% clean energy by 2045. Compliance periods and RPS requirements are as follows: </w:t>
      </w:r>
    </w:p>
    <w:p w14:paraId="45F943A9" w14:textId="77777777" w:rsidR="005436C4" w:rsidRPr="002D021B" w:rsidRDefault="005436C4" w:rsidP="00C34E49">
      <w:pPr>
        <w:pStyle w:val="ListParagraph"/>
        <w:numPr>
          <w:ilvl w:val="0"/>
          <w:numId w:val="8"/>
        </w:numPr>
        <w:spacing w:before="120"/>
        <w:rPr>
          <w:rFonts w:cstheme="minorHAnsi"/>
          <w:sz w:val="24"/>
          <w:szCs w:val="24"/>
        </w:rPr>
      </w:pPr>
      <w:r w:rsidRPr="002D021B">
        <w:rPr>
          <w:rFonts w:cstheme="minorHAnsi"/>
          <w:color w:val="000000" w:themeColor="text1"/>
          <w:sz w:val="24"/>
          <w:szCs w:val="24"/>
        </w:rPr>
        <w:t xml:space="preserve">Period 1 - January 1, </w:t>
      </w:r>
      <w:proofErr w:type="gramStart"/>
      <w:r w:rsidRPr="002D021B">
        <w:rPr>
          <w:rFonts w:cstheme="minorHAnsi"/>
          <w:color w:val="000000" w:themeColor="text1"/>
          <w:sz w:val="24"/>
          <w:szCs w:val="24"/>
        </w:rPr>
        <w:t>2011</w:t>
      </w:r>
      <w:proofErr w:type="gramEnd"/>
      <w:r w:rsidRPr="002D021B">
        <w:rPr>
          <w:rFonts w:cstheme="minorHAnsi"/>
          <w:color w:val="000000" w:themeColor="text1"/>
          <w:sz w:val="24"/>
          <w:szCs w:val="24"/>
        </w:rPr>
        <w:t xml:space="preserve"> through December 31, 2013 - 20% RPS; </w:t>
      </w:r>
      <w:r w:rsidRPr="002D021B">
        <w:rPr>
          <w:rFonts w:cstheme="minorHAnsi"/>
          <w:sz w:val="24"/>
          <w:szCs w:val="24"/>
        </w:rPr>
        <w:t xml:space="preserve"> </w:t>
      </w:r>
    </w:p>
    <w:p w14:paraId="334C9E00" w14:textId="77777777" w:rsidR="005436C4" w:rsidRPr="002D021B" w:rsidRDefault="005436C4" w:rsidP="005436C4">
      <w:pPr>
        <w:pStyle w:val="ListParagraph"/>
        <w:numPr>
          <w:ilvl w:val="0"/>
          <w:numId w:val="8"/>
        </w:numPr>
        <w:rPr>
          <w:rFonts w:cstheme="minorHAnsi"/>
          <w:sz w:val="24"/>
          <w:szCs w:val="24"/>
        </w:rPr>
      </w:pPr>
      <w:r w:rsidRPr="002D021B">
        <w:rPr>
          <w:rFonts w:cstheme="minorHAnsi"/>
          <w:color w:val="000000" w:themeColor="text1"/>
          <w:sz w:val="24"/>
          <w:szCs w:val="24"/>
        </w:rPr>
        <w:t xml:space="preserve">Period 2 - </w:t>
      </w:r>
      <w:r w:rsidRPr="002D021B">
        <w:rPr>
          <w:rFonts w:cstheme="minorHAnsi"/>
          <w:sz w:val="24"/>
          <w:szCs w:val="24"/>
        </w:rPr>
        <w:t xml:space="preserve">January 1, </w:t>
      </w:r>
      <w:proofErr w:type="gramStart"/>
      <w:r w:rsidRPr="002D021B">
        <w:rPr>
          <w:rFonts w:cstheme="minorHAnsi"/>
          <w:sz w:val="24"/>
          <w:szCs w:val="24"/>
        </w:rPr>
        <w:t>2014</w:t>
      </w:r>
      <w:proofErr w:type="gramEnd"/>
      <w:r w:rsidRPr="002D021B">
        <w:rPr>
          <w:rFonts w:cstheme="minorHAnsi"/>
          <w:sz w:val="24"/>
          <w:szCs w:val="24"/>
        </w:rPr>
        <w:t xml:space="preserve"> through December 31, 2016 - 25% RPS;  </w:t>
      </w:r>
    </w:p>
    <w:p w14:paraId="07B22857" w14:textId="77777777" w:rsidR="005436C4" w:rsidRPr="002D021B" w:rsidRDefault="005436C4" w:rsidP="005436C4">
      <w:pPr>
        <w:pStyle w:val="ListParagraph"/>
        <w:numPr>
          <w:ilvl w:val="0"/>
          <w:numId w:val="8"/>
        </w:numPr>
        <w:rPr>
          <w:rFonts w:cstheme="minorHAnsi"/>
          <w:sz w:val="24"/>
          <w:szCs w:val="24"/>
        </w:rPr>
      </w:pPr>
      <w:r w:rsidRPr="002D021B">
        <w:rPr>
          <w:rFonts w:cstheme="minorHAnsi"/>
          <w:sz w:val="24"/>
          <w:szCs w:val="24"/>
        </w:rPr>
        <w:t xml:space="preserve">Period 3 - January 1, </w:t>
      </w:r>
      <w:proofErr w:type="gramStart"/>
      <w:r w:rsidRPr="002D021B">
        <w:rPr>
          <w:rFonts w:cstheme="minorHAnsi"/>
          <w:sz w:val="24"/>
          <w:szCs w:val="24"/>
        </w:rPr>
        <w:t>2017</w:t>
      </w:r>
      <w:proofErr w:type="gramEnd"/>
      <w:r w:rsidRPr="002D021B">
        <w:rPr>
          <w:rFonts w:cstheme="minorHAnsi"/>
          <w:sz w:val="24"/>
          <w:szCs w:val="24"/>
        </w:rPr>
        <w:t xml:space="preserve"> through December 31, 2020 - 33% RPS;  </w:t>
      </w:r>
    </w:p>
    <w:p w14:paraId="03AC90D5" w14:textId="77777777" w:rsidR="005436C4" w:rsidRPr="002D021B" w:rsidRDefault="005436C4" w:rsidP="005436C4">
      <w:pPr>
        <w:pStyle w:val="ListParagraph"/>
        <w:numPr>
          <w:ilvl w:val="0"/>
          <w:numId w:val="8"/>
        </w:numPr>
        <w:rPr>
          <w:rFonts w:cstheme="minorHAnsi"/>
          <w:sz w:val="24"/>
          <w:szCs w:val="24"/>
        </w:rPr>
      </w:pPr>
      <w:r w:rsidRPr="002D021B">
        <w:rPr>
          <w:rFonts w:cstheme="minorHAnsi"/>
          <w:sz w:val="24"/>
          <w:szCs w:val="24"/>
        </w:rPr>
        <w:t xml:space="preserve">Period 4 - January 1, </w:t>
      </w:r>
      <w:proofErr w:type="gramStart"/>
      <w:r w:rsidRPr="002D021B">
        <w:rPr>
          <w:rFonts w:cstheme="minorHAnsi"/>
          <w:sz w:val="24"/>
          <w:szCs w:val="24"/>
        </w:rPr>
        <w:t>2021</w:t>
      </w:r>
      <w:proofErr w:type="gramEnd"/>
      <w:r w:rsidRPr="002D021B">
        <w:rPr>
          <w:rFonts w:cstheme="minorHAnsi"/>
          <w:sz w:val="24"/>
          <w:szCs w:val="24"/>
        </w:rPr>
        <w:t xml:space="preserve"> through December 31, 2024 - 44% RPS; </w:t>
      </w:r>
    </w:p>
    <w:p w14:paraId="5219EAF9" w14:textId="77777777" w:rsidR="005436C4" w:rsidRPr="002D021B" w:rsidRDefault="005436C4" w:rsidP="005436C4">
      <w:pPr>
        <w:pStyle w:val="ListParagraph"/>
        <w:numPr>
          <w:ilvl w:val="0"/>
          <w:numId w:val="8"/>
        </w:numPr>
        <w:rPr>
          <w:rFonts w:cstheme="minorHAnsi"/>
          <w:sz w:val="24"/>
          <w:szCs w:val="24"/>
        </w:rPr>
      </w:pPr>
      <w:r w:rsidRPr="002D021B">
        <w:rPr>
          <w:rFonts w:cstheme="minorHAnsi"/>
          <w:sz w:val="24"/>
          <w:szCs w:val="24"/>
        </w:rPr>
        <w:t xml:space="preserve">Period 5 - January 1, </w:t>
      </w:r>
      <w:proofErr w:type="gramStart"/>
      <w:r w:rsidRPr="002D021B">
        <w:rPr>
          <w:rFonts w:cstheme="minorHAnsi"/>
          <w:sz w:val="24"/>
          <w:szCs w:val="24"/>
        </w:rPr>
        <w:t>2025</w:t>
      </w:r>
      <w:proofErr w:type="gramEnd"/>
      <w:r w:rsidRPr="002D021B">
        <w:rPr>
          <w:rFonts w:cstheme="minorHAnsi"/>
          <w:sz w:val="24"/>
          <w:szCs w:val="24"/>
        </w:rPr>
        <w:t xml:space="preserve"> through December 31, 2027 - 50% RPS; and  </w:t>
      </w:r>
    </w:p>
    <w:p w14:paraId="21824537" w14:textId="7F9D56DA" w:rsidR="005436C4" w:rsidRPr="002D021B" w:rsidRDefault="005436C4" w:rsidP="00874A11">
      <w:pPr>
        <w:pStyle w:val="ListParagraph"/>
        <w:numPr>
          <w:ilvl w:val="0"/>
          <w:numId w:val="8"/>
        </w:numPr>
        <w:rPr>
          <w:rFonts w:cstheme="minorHAnsi"/>
          <w:sz w:val="24"/>
          <w:szCs w:val="24"/>
        </w:rPr>
      </w:pPr>
      <w:r w:rsidRPr="002D021B">
        <w:rPr>
          <w:rFonts w:cstheme="minorHAnsi"/>
          <w:sz w:val="24"/>
          <w:szCs w:val="24"/>
        </w:rPr>
        <w:t xml:space="preserve">Period 6 - January 1, </w:t>
      </w:r>
      <w:proofErr w:type="gramStart"/>
      <w:r w:rsidRPr="002D021B">
        <w:rPr>
          <w:rFonts w:cstheme="minorHAnsi"/>
          <w:sz w:val="24"/>
          <w:szCs w:val="24"/>
        </w:rPr>
        <w:t>2028</w:t>
      </w:r>
      <w:proofErr w:type="gramEnd"/>
      <w:r w:rsidRPr="002D021B">
        <w:rPr>
          <w:rFonts w:cstheme="minorHAnsi"/>
          <w:sz w:val="24"/>
          <w:szCs w:val="24"/>
        </w:rPr>
        <w:t xml:space="preserve"> through December 31, 2030 - 60% RPS. </w:t>
      </w:r>
    </w:p>
    <w:p w14:paraId="368E05FE" w14:textId="02F2D278" w:rsidR="005436C4" w:rsidRPr="00810CE7" w:rsidRDefault="005436C4" w:rsidP="005436C4">
      <w:r w:rsidRPr="00874A11">
        <w:t xml:space="preserve">The District’s final RPS amount is the ratio of all qualifying renewable energy received divided by the District’s total retail energy sales, as defined by the California Energy Commission (CEC). Section 3201(bb) of CEC regulations define retail energy sales as: "Sale of electricity by a </w:t>
      </w:r>
      <w:r w:rsidR="00E92AED">
        <w:t>publicly owned utility (</w:t>
      </w:r>
      <w:r w:rsidRPr="00874A11">
        <w:t>POU</w:t>
      </w:r>
      <w:r w:rsidR="00E92AED">
        <w:t>)</w:t>
      </w:r>
      <w:r w:rsidRPr="00874A11">
        <w:t xml:space="preserve"> to end-use-customers and their tenants, measured in MWh”. </w:t>
      </w:r>
      <w:r w:rsidR="00A25320">
        <w:t xml:space="preserve"> </w:t>
      </w:r>
      <w:r w:rsidRPr="00874A11">
        <w:t>This does not include energy consumption by a POU, electricity used by a POU for water pumping, or electricity produced for onsite consumption (self-generation)."</w:t>
      </w:r>
    </w:p>
    <w:p w14:paraId="55ECA953" w14:textId="47B899E8" w:rsidR="0074735A" w:rsidRPr="00810CE7" w:rsidRDefault="0074735A" w:rsidP="00C34E49">
      <w:pPr>
        <w:spacing w:before="120"/>
      </w:pPr>
      <w:r w:rsidRPr="00810CE7">
        <w:t>Table A-1 summarizes the year-by-year RPS and GHG-free goals for the planning period</w:t>
      </w:r>
      <w:r w:rsidR="003B5502">
        <w:t xml:space="preserve">. </w:t>
      </w:r>
    </w:p>
    <w:p w14:paraId="1C653DD7" w14:textId="614F6E68" w:rsidR="006C2F62" w:rsidRPr="00810CE7" w:rsidRDefault="0074735A" w:rsidP="00C34E49">
      <w:pPr>
        <w:keepNext/>
        <w:spacing w:before="120" w:after="120"/>
        <w:jc w:val="center"/>
        <w:rPr>
          <w:b/>
          <w:bCs/>
        </w:rPr>
      </w:pPr>
      <w:r w:rsidRPr="00874A11">
        <w:rPr>
          <w:b/>
          <w:bCs/>
        </w:rPr>
        <w:lastRenderedPageBreak/>
        <w:t>Table A-1: State RPS (%) and GHG-free (%) Goals: 2024-2040</w:t>
      </w:r>
    </w:p>
    <w:tbl>
      <w:tblPr>
        <w:tblW w:w="3840" w:type="dxa"/>
        <w:jc w:val="center"/>
        <w:tblLook w:val="04A0" w:firstRow="1" w:lastRow="0" w:firstColumn="1" w:lastColumn="0" w:noHBand="0" w:noVBand="1"/>
      </w:tblPr>
      <w:tblGrid>
        <w:gridCol w:w="1280"/>
        <w:gridCol w:w="1280"/>
        <w:gridCol w:w="1280"/>
      </w:tblGrid>
      <w:tr w:rsidR="00810CE7" w:rsidRPr="00810CE7" w14:paraId="71DCFEB5" w14:textId="77777777" w:rsidTr="000F0F73">
        <w:trPr>
          <w:trHeight w:val="283"/>
          <w:tblHeader/>
          <w:jc w:val="center"/>
        </w:trPr>
        <w:tc>
          <w:tcPr>
            <w:tcW w:w="12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E539BB" w14:textId="77777777" w:rsidR="0074735A" w:rsidRPr="00874A11" w:rsidRDefault="0074735A" w:rsidP="00C34E49">
            <w:pPr>
              <w:keepNext/>
              <w:rPr>
                <w:b/>
                <w:bCs/>
                <w:color w:val="000000"/>
                <w:sz w:val="22"/>
                <w:szCs w:val="22"/>
              </w:rPr>
            </w:pPr>
            <w:r w:rsidRPr="00874A11">
              <w:rPr>
                <w:b/>
                <w:bCs/>
                <w:color w:val="000000"/>
                <w:sz w:val="22"/>
                <w:szCs w:val="22"/>
              </w:rPr>
              <w:t>Year</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64E491C6" w14:textId="77777777" w:rsidR="0074735A" w:rsidRPr="00874A11" w:rsidRDefault="0074735A" w:rsidP="00C34E49">
            <w:pPr>
              <w:keepNext/>
              <w:rPr>
                <w:b/>
                <w:bCs/>
                <w:color w:val="000000"/>
                <w:sz w:val="22"/>
                <w:szCs w:val="22"/>
              </w:rPr>
            </w:pPr>
            <w:r w:rsidRPr="00874A11">
              <w:rPr>
                <w:b/>
                <w:bCs/>
                <w:color w:val="000000"/>
                <w:sz w:val="22"/>
                <w:szCs w:val="22"/>
              </w:rPr>
              <w:t>RPS %</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2FB946C7" w14:textId="77777777" w:rsidR="0074735A" w:rsidRPr="00874A11" w:rsidRDefault="0074735A" w:rsidP="00C34E49">
            <w:pPr>
              <w:keepNext/>
              <w:rPr>
                <w:b/>
                <w:bCs/>
                <w:color w:val="000000"/>
                <w:sz w:val="22"/>
                <w:szCs w:val="22"/>
              </w:rPr>
            </w:pPr>
            <w:r w:rsidRPr="00874A11">
              <w:rPr>
                <w:b/>
                <w:bCs/>
                <w:color w:val="000000"/>
                <w:sz w:val="22"/>
                <w:szCs w:val="22"/>
              </w:rPr>
              <w:t>GHG-Free %</w:t>
            </w:r>
          </w:p>
        </w:tc>
      </w:tr>
      <w:tr w:rsidR="00810CE7" w:rsidRPr="00810CE7" w14:paraId="16A6698E" w14:textId="77777777" w:rsidTr="00810CE7">
        <w:trPr>
          <w:trHeight w:val="283"/>
          <w:jc w:val="center"/>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46244B5B" w14:textId="77777777" w:rsidR="0074735A" w:rsidRPr="00874A11" w:rsidRDefault="0074735A" w:rsidP="00C34E49">
            <w:pPr>
              <w:keepNext/>
              <w:jc w:val="right"/>
              <w:rPr>
                <w:color w:val="000000"/>
                <w:sz w:val="22"/>
                <w:szCs w:val="22"/>
              </w:rPr>
            </w:pPr>
            <w:r w:rsidRPr="00874A11">
              <w:rPr>
                <w:color w:val="000000"/>
                <w:sz w:val="22"/>
                <w:szCs w:val="22"/>
              </w:rPr>
              <w:t>2024</w:t>
            </w:r>
          </w:p>
        </w:tc>
        <w:tc>
          <w:tcPr>
            <w:tcW w:w="1280" w:type="dxa"/>
            <w:tcBorders>
              <w:top w:val="nil"/>
              <w:left w:val="nil"/>
              <w:bottom w:val="single" w:sz="4" w:space="0" w:color="auto"/>
              <w:right w:val="single" w:sz="4" w:space="0" w:color="auto"/>
            </w:tcBorders>
            <w:shd w:val="clear" w:color="auto" w:fill="auto"/>
            <w:noWrap/>
            <w:vAlign w:val="bottom"/>
            <w:hideMark/>
          </w:tcPr>
          <w:p w14:paraId="796BC795" w14:textId="77777777" w:rsidR="0074735A" w:rsidRPr="00874A11" w:rsidRDefault="0074735A" w:rsidP="00C34E49">
            <w:pPr>
              <w:keepNext/>
              <w:jc w:val="right"/>
              <w:rPr>
                <w:color w:val="000000"/>
                <w:sz w:val="22"/>
                <w:szCs w:val="22"/>
              </w:rPr>
            </w:pPr>
            <w:r w:rsidRPr="00874A11">
              <w:rPr>
                <w:color w:val="000000"/>
                <w:sz w:val="22"/>
                <w:szCs w:val="22"/>
              </w:rPr>
              <w:t>44%</w:t>
            </w:r>
          </w:p>
        </w:tc>
        <w:tc>
          <w:tcPr>
            <w:tcW w:w="1280" w:type="dxa"/>
            <w:tcBorders>
              <w:top w:val="nil"/>
              <w:left w:val="nil"/>
              <w:bottom w:val="single" w:sz="4" w:space="0" w:color="auto"/>
              <w:right w:val="single" w:sz="4" w:space="0" w:color="auto"/>
            </w:tcBorders>
            <w:shd w:val="clear" w:color="auto" w:fill="auto"/>
            <w:noWrap/>
            <w:vAlign w:val="bottom"/>
            <w:hideMark/>
          </w:tcPr>
          <w:p w14:paraId="36D4A40D" w14:textId="77777777" w:rsidR="0074735A" w:rsidRPr="00874A11" w:rsidRDefault="0074735A" w:rsidP="00C34E49">
            <w:pPr>
              <w:keepNext/>
              <w:jc w:val="right"/>
              <w:rPr>
                <w:color w:val="000000"/>
                <w:sz w:val="22"/>
                <w:szCs w:val="22"/>
              </w:rPr>
            </w:pPr>
            <w:r w:rsidRPr="00874A11">
              <w:rPr>
                <w:color w:val="000000"/>
                <w:sz w:val="22"/>
                <w:szCs w:val="22"/>
              </w:rPr>
              <w:t>N/A</w:t>
            </w:r>
          </w:p>
        </w:tc>
      </w:tr>
      <w:tr w:rsidR="00810CE7" w:rsidRPr="00810CE7" w14:paraId="0468088C" w14:textId="77777777" w:rsidTr="00810CE7">
        <w:trPr>
          <w:trHeight w:val="283"/>
          <w:jc w:val="center"/>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092C3678" w14:textId="77777777" w:rsidR="0074735A" w:rsidRPr="00874A11" w:rsidRDefault="0074735A" w:rsidP="00C34E49">
            <w:pPr>
              <w:keepNext/>
              <w:jc w:val="right"/>
              <w:rPr>
                <w:color w:val="000000"/>
                <w:sz w:val="22"/>
                <w:szCs w:val="22"/>
              </w:rPr>
            </w:pPr>
            <w:r w:rsidRPr="00874A11">
              <w:rPr>
                <w:color w:val="000000"/>
                <w:sz w:val="22"/>
                <w:szCs w:val="22"/>
              </w:rPr>
              <w:t>2025</w:t>
            </w:r>
          </w:p>
        </w:tc>
        <w:tc>
          <w:tcPr>
            <w:tcW w:w="1280" w:type="dxa"/>
            <w:tcBorders>
              <w:top w:val="nil"/>
              <w:left w:val="nil"/>
              <w:bottom w:val="single" w:sz="4" w:space="0" w:color="auto"/>
              <w:right w:val="single" w:sz="4" w:space="0" w:color="auto"/>
            </w:tcBorders>
            <w:shd w:val="clear" w:color="auto" w:fill="auto"/>
            <w:noWrap/>
            <w:vAlign w:val="bottom"/>
            <w:hideMark/>
          </w:tcPr>
          <w:p w14:paraId="003250D2" w14:textId="77777777" w:rsidR="0074735A" w:rsidRPr="00874A11" w:rsidRDefault="0074735A" w:rsidP="00C34E49">
            <w:pPr>
              <w:keepNext/>
              <w:jc w:val="right"/>
              <w:rPr>
                <w:color w:val="000000"/>
                <w:sz w:val="22"/>
                <w:szCs w:val="22"/>
              </w:rPr>
            </w:pPr>
            <w:r w:rsidRPr="00874A11">
              <w:rPr>
                <w:color w:val="000000"/>
                <w:sz w:val="22"/>
                <w:szCs w:val="22"/>
              </w:rPr>
              <w:t>47%</w:t>
            </w:r>
          </w:p>
        </w:tc>
        <w:tc>
          <w:tcPr>
            <w:tcW w:w="1280" w:type="dxa"/>
            <w:tcBorders>
              <w:top w:val="nil"/>
              <w:left w:val="nil"/>
              <w:bottom w:val="single" w:sz="4" w:space="0" w:color="auto"/>
              <w:right w:val="single" w:sz="4" w:space="0" w:color="auto"/>
            </w:tcBorders>
            <w:shd w:val="clear" w:color="auto" w:fill="auto"/>
            <w:noWrap/>
            <w:vAlign w:val="bottom"/>
            <w:hideMark/>
          </w:tcPr>
          <w:p w14:paraId="255336BF" w14:textId="77777777" w:rsidR="0074735A" w:rsidRPr="00874A11" w:rsidRDefault="0074735A" w:rsidP="00C34E49">
            <w:pPr>
              <w:keepNext/>
              <w:jc w:val="right"/>
              <w:rPr>
                <w:color w:val="000000"/>
                <w:sz w:val="22"/>
                <w:szCs w:val="22"/>
              </w:rPr>
            </w:pPr>
            <w:r w:rsidRPr="00874A11">
              <w:rPr>
                <w:color w:val="000000"/>
                <w:sz w:val="22"/>
                <w:szCs w:val="22"/>
              </w:rPr>
              <w:t>N/A</w:t>
            </w:r>
          </w:p>
        </w:tc>
      </w:tr>
      <w:tr w:rsidR="00810CE7" w:rsidRPr="00810CE7" w14:paraId="74FEDDA8" w14:textId="77777777" w:rsidTr="00810CE7">
        <w:trPr>
          <w:trHeight w:val="283"/>
          <w:jc w:val="center"/>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261C857A" w14:textId="77777777" w:rsidR="0074735A" w:rsidRPr="00874A11" w:rsidRDefault="0074735A" w:rsidP="00C34E49">
            <w:pPr>
              <w:keepNext/>
              <w:jc w:val="right"/>
              <w:rPr>
                <w:color w:val="000000"/>
                <w:sz w:val="22"/>
                <w:szCs w:val="22"/>
              </w:rPr>
            </w:pPr>
            <w:r w:rsidRPr="00874A11">
              <w:rPr>
                <w:color w:val="000000"/>
                <w:sz w:val="22"/>
                <w:szCs w:val="22"/>
              </w:rPr>
              <w:t>2026</w:t>
            </w:r>
          </w:p>
        </w:tc>
        <w:tc>
          <w:tcPr>
            <w:tcW w:w="1280" w:type="dxa"/>
            <w:tcBorders>
              <w:top w:val="nil"/>
              <w:left w:val="nil"/>
              <w:bottom w:val="single" w:sz="4" w:space="0" w:color="auto"/>
              <w:right w:val="single" w:sz="4" w:space="0" w:color="auto"/>
            </w:tcBorders>
            <w:shd w:val="clear" w:color="auto" w:fill="auto"/>
            <w:noWrap/>
            <w:vAlign w:val="bottom"/>
            <w:hideMark/>
          </w:tcPr>
          <w:p w14:paraId="2F397004" w14:textId="77777777" w:rsidR="0074735A" w:rsidRPr="00874A11" w:rsidRDefault="0074735A" w:rsidP="00C34E49">
            <w:pPr>
              <w:keepNext/>
              <w:jc w:val="right"/>
              <w:rPr>
                <w:color w:val="000000"/>
                <w:sz w:val="22"/>
                <w:szCs w:val="22"/>
              </w:rPr>
            </w:pPr>
            <w:r w:rsidRPr="00874A11">
              <w:rPr>
                <w:color w:val="000000"/>
                <w:sz w:val="22"/>
                <w:szCs w:val="22"/>
              </w:rPr>
              <w:t>49%</w:t>
            </w:r>
          </w:p>
        </w:tc>
        <w:tc>
          <w:tcPr>
            <w:tcW w:w="1280" w:type="dxa"/>
            <w:tcBorders>
              <w:top w:val="nil"/>
              <w:left w:val="nil"/>
              <w:bottom w:val="single" w:sz="4" w:space="0" w:color="auto"/>
              <w:right w:val="single" w:sz="4" w:space="0" w:color="auto"/>
            </w:tcBorders>
            <w:shd w:val="clear" w:color="auto" w:fill="auto"/>
            <w:noWrap/>
            <w:vAlign w:val="bottom"/>
            <w:hideMark/>
          </w:tcPr>
          <w:p w14:paraId="498B02FF" w14:textId="77777777" w:rsidR="0074735A" w:rsidRPr="00874A11" w:rsidRDefault="0074735A" w:rsidP="00C34E49">
            <w:pPr>
              <w:keepNext/>
              <w:jc w:val="right"/>
              <w:rPr>
                <w:color w:val="000000"/>
                <w:sz w:val="22"/>
                <w:szCs w:val="22"/>
              </w:rPr>
            </w:pPr>
            <w:r w:rsidRPr="00874A11">
              <w:rPr>
                <w:color w:val="000000"/>
                <w:sz w:val="22"/>
                <w:szCs w:val="22"/>
              </w:rPr>
              <w:t>N/A</w:t>
            </w:r>
          </w:p>
        </w:tc>
      </w:tr>
      <w:tr w:rsidR="00810CE7" w:rsidRPr="00810CE7" w14:paraId="2175C46B" w14:textId="77777777" w:rsidTr="00810CE7">
        <w:trPr>
          <w:trHeight w:val="283"/>
          <w:jc w:val="center"/>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708A5AE2" w14:textId="77777777" w:rsidR="0074735A" w:rsidRPr="00874A11" w:rsidRDefault="0074735A" w:rsidP="00C34E49">
            <w:pPr>
              <w:keepNext/>
              <w:jc w:val="right"/>
              <w:rPr>
                <w:color w:val="000000"/>
                <w:sz w:val="22"/>
                <w:szCs w:val="22"/>
              </w:rPr>
            </w:pPr>
            <w:r w:rsidRPr="00874A11">
              <w:rPr>
                <w:color w:val="000000"/>
                <w:sz w:val="22"/>
                <w:szCs w:val="22"/>
              </w:rPr>
              <w:t>2027</w:t>
            </w:r>
          </w:p>
        </w:tc>
        <w:tc>
          <w:tcPr>
            <w:tcW w:w="1280" w:type="dxa"/>
            <w:tcBorders>
              <w:top w:val="nil"/>
              <w:left w:val="nil"/>
              <w:bottom w:val="single" w:sz="4" w:space="0" w:color="auto"/>
              <w:right w:val="single" w:sz="4" w:space="0" w:color="auto"/>
            </w:tcBorders>
            <w:shd w:val="clear" w:color="auto" w:fill="auto"/>
            <w:noWrap/>
            <w:vAlign w:val="bottom"/>
            <w:hideMark/>
          </w:tcPr>
          <w:p w14:paraId="06CD7CD4" w14:textId="77777777" w:rsidR="0074735A" w:rsidRPr="00874A11" w:rsidRDefault="0074735A" w:rsidP="00C34E49">
            <w:pPr>
              <w:keepNext/>
              <w:jc w:val="right"/>
              <w:rPr>
                <w:color w:val="000000"/>
                <w:sz w:val="22"/>
                <w:szCs w:val="22"/>
              </w:rPr>
            </w:pPr>
            <w:r w:rsidRPr="00874A11">
              <w:rPr>
                <w:color w:val="000000"/>
                <w:sz w:val="22"/>
                <w:szCs w:val="22"/>
              </w:rPr>
              <w:t>50%</w:t>
            </w:r>
          </w:p>
        </w:tc>
        <w:tc>
          <w:tcPr>
            <w:tcW w:w="1280" w:type="dxa"/>
            <w:tcBorders>
              <w:top w:val="nil"/>
              <w:left w:val="nil"/>
              <w:bottom w:val="single" w:sz="4" w:space="0" w:color="auto"/>
              <w:right w:val="single" w:sz="4" w:space="0" w:color="auto"/>
            </w:tcBorders>
            <w:shd w:val="clear" w:color="auto" w:fill="auto"/>
            <w:noWrap/>
            <w:vAlign w:val="bottom"/>
            <w:hideMark/>
          </w:tcPr>
          <w:p w14:paraId="143A73B6" w14:textId="77777777" w:rsidR="0074735A" w:rsidRPr="00874A11" w:rsidRDefault="0074735A" w:rsidP="00C34E49">
            <w:pPr>
              <w:keepNext/>
              <w:jc w:val="right"/>
              <w:rPr>
                <w:color w:val="000000"/>
                <w:sz w:val="22"/>
                <w:szCs w:val="22"/>
              </w:rPr>
            </w:pPr>
            <w:r w:rsidRPr="00874A11">
              <w:rPr>
                <w:color w:val="000000"/>
                <w:sz w:val="22"/>
                <w:szCs w:val="22"/>
              </w:rPr>
              <w:t>N/A</w:t>
            </w:r>
          </w:p>
        </w:tc>
      </w:tr>
      <w:tr w:rsidR="00810CE7" w:rsidRPr="00810CE7" w14:paraId="42FE9A9C" w14:textId="77777777" w:rsidTr="00810CE7">
        <w:trPr>
          <w:trHeight w:val="283"/>
          <w:jc w:val="center"/>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3DFCF24C" w14:textId="77777777" w:rsidR="0074735A" w:rsidRPr="00874A11" w:rsidRDefault="0074735A" w:rsidP="00C34E49">
            <w:pPr>
              <w:keepNext/>
              <w:jc w:val="right"/>
              <w:rPr>
                <w:color w:val="000000"/>
                <w:sz w:val="22"/>
                <w:szCs w:val="22"/>
              </w:rPr>
            </w:pPr>
            <w:r w:rsidRPr="00874A11">
              <w:rPr>
                <w:color w:val="000000"/>
                <w:sz w:val="22"/>
                <w:szCs w:val="22"/>
              </w:rPr>
              <w:t>2028</w:t>
            </w:r>
          </w:p>
        </w:tc>
        <w:tc>
          <w:tcPr>
            <w:tcW w:w="1280" w:type="dxa"/>
            <w:tcBorders>
              <w:top w:val="nil"/>
              <w:left w:val="nil"/>
              <w:bottom w:val="single" w:sz="4" w:space="0" w:color="auto"/>
              <w:right w:val="single" w:sz="4" w:space="0" w:color="auto"/>
            </w:tcBorders>
            <w:shd w:val="clear" w:color="auto" w:fill="auto"/>
            <w:noWrap/>
            <w:vAlign w:val="bottom"/>
            <w:hideMark/>
          </w:tcPr>
          <w:p w14:paraId="2BE814A5" w14:textId="77777777" w:rsidR="0074735A" w:rsidRPr="00874A11" w:rsidRDefault="0074735A" w:rsidP="00C34E49">
            <w:pPr>
              <w:keepNext/>
              <w:jc w:val="right"/>
              <w:rPr>
                <w:color w:val="000000"/>
                <w:sz w:val="22"/>
                <w:szCs w:val="22"/>
              </w:rPr>
            </w:pPr>
            <w:r w:rsidRPr="00874A11">
              <w:rPr>
                <w:color w:val="000000"/>
                <w:sz w:val="22"/>
                <w:szCs w:val="22"/>
              </w:rPr>
              <w:t>55%</w:t>
            </w:r>
          </w:p>
        </w:tc>
        <w:tc>
          <w:tcPr>
            <w:tcW w:w="1280" w:type="dxa"/>
            <w:tcBorders>
              <w:top w:val="nil"/>
              <w:left w:val="nil"/>
              <w:bottom w:val="single" w:sz="4" w:space="0" w:color="auto"/>
              <w:right w:val="single" w:sz="4" w:space="0" w:color="auto"/>
            </w:tcBorders>
            <w:shd w:val="clear" w:color="auto" w:fill="auto"/>
            <w:noWrap/>
            <w:vAlign w:val="bottom"/>
            <w:hideMark/>
          </w:tcPr>
          <w:p w14:paraId="016CB8EA" w14:textId="77777777" w:rsidR="0074735A" w:rsidRPr="00874A11" w:rsidRDefault="0074735A" w:rsidP="00C34E49">
            <w:pPr>
              <w:keepNext/>
              <w:jc w:val="right"/>
              <w:rPr>
                <w:color w:val="000000"/>
                <w:sz w:val="22"/>
                <w:szCs w:val="22"/>
              </w:rPr>
            </w:pPr>
            <w:r w:rsidRPr="00874A11">
              <w:rPr>
                <w:color w:val="000000"/>
                <w:sz w:val="22"/>
                <w:szCs w:val="22"/>
              </w:rPr>
              <w:t>N/A</w:t>
            </w:r>
          </w:p>
        </w:tc>
      </w:tr>
      <w:tr w:rsidR="00810CE7" w:rsidRPr="00810CE7" w14:paraId="730834FA" w14:textId="77777777" w:rsidTr="00810CE7">
        <w:trPr>
          <w:trHeight w:val="283"/>
          <w:jc w:val="center"/>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3C7E35F4" w14:textId="77777777" w:rsidR="0074735A" w:rsidRPr="00874A11" w:rsidRDefault="0074735A" w:rsidP="00C34E49">
            <w:pPr>
              <w:keepNext/>
              <w:jc w:val="right"/>
              <w:rPr>
                <w:color w:val="000000"/>
                <w:sz w:val="22"/>
                <w:szCs w:val="22"/>
              </w:rPr>
            </w:pPr>
            <w:r w:rsidRPr="00874A11">
              <w:rPr>
                <w:color w:val="000000"/>
                <w:sz w:val="22"/>
                <w:szCs w:val="22"/>
              </w:rPr>
              <w:t>2029</w:t>
            </w:r>
          </w:p>
        </w:tc>
        <w:tc>
          <w:tcPr>
            <w:tcW w:w="1280" w:type="dxa"/>
            <w:tcBorders>
              <w:top w:val="nil"/>
              <w:left w:val="nil"/>
              <w:bottom w:val="single" w:sz="4" w:space="0" w:color="auto"/>
              <w:right w:val="single" w:sz="4" w:space="0" w:color="auto"/>
            </w:tcBorders>
            <w:shd w:val="clear" w:color="auto" w:fill="auto"/>
            <w:noWrap/>
            <w:vAlign w:val="bottom"/>
            <w:hideMark/>
          </w:tcPr>
          <w:p w14:paraId="50E8AA6E" w14:textId="77777777" w:rsidR="0074735A" w:rsidRPr="00874A11" w:rsidRDefault="0074735A" w:rsidP="00C34E49">
            <w:pPr>
              <w:keepNext/>
              <w:jc w:val="right"/>
              <w:rPr>
                <w:color w:val="000000"/>
                <w:sz w:val="22"/>
                <w:szCs w:val="22"/>
              </w:rPr>
            </w:pPr>
            <w:r w:rsidRPr="00874A11">
              <w:rPr>
                <w:color w:val="000000"/>
                <w:sz w:val="22"/>
                <w:szCs w:val="22"/>
              </w:rPr>
              <w:t>57%</w:t>
            </w:r>
          </w:p>
        </w:tc>
        <w:tc>
          <w:tcPr>
            <w:tcW w:w="1280" w:type="dxa"/>
            <w:tcBorders>
              <w:top w:val="nil"/>
              <w:left w:val="nil"/>
              <w:bottom w:val="single" w:sz="4" w:space="0" w:color="auto"/>
              <w:right w:val="single" w:sz="4" w:space="0" w:color="auto"/>
            </w:tcBorders>
            <w:shd w:val="clear" w:color="auto" w:fill="auto"/>
            <w:noWrap/>
            <w:vAlign w:val="bottom"/>
            <w:hideMark/>
          </w:tcPr>
          <w:p w14:paraId="08DF212B" w14:textId="77777777" w:rsidR="0074735A" w:rsidRPr="00874A11" w:rsidRDefault="0074735A" w:rsidP="00C34E49">
            <w:pPr>
              <w:keepNext/>
              <w:jc w:val="right"/>
              <w:rPr>
                <w:color w:val="000000"/>
                <w:sz w:val="22"/>
                <w:szCs w:val="22"/>
              </w:rPr>
            </w:pPr>
            <w:r w:rsidRPr="00874A11">
              <w:rPr>
                <w:color w:val="000000"/>
                <w:sz w:val="22"/>
                <w:szCs w:val="22"/>
              </w:rPr>
              <w:t>N/A</w:t>
            </w:r>
          </w:p>
        </w:tc>
      </w:tr>
      <w:tr w:rsidR="00810CE7" w:rsidRPr="00810CE7" w14:paraId="5A3108E0" w14:textId="77777777" w:rsidTr="00810CE7">
        <w:trPr>
          <w:trHeight w:val="283"/>
          <w:jc w:val="center"/>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1CE54A2B" w14:textId="77777777" w:rsidR="0074735A" w:rsidRPr="00874A11" w:rsidRDefault="0074735A" w:rsidP="00C34E49">
            <w:pPr>
              <w:keepNext/>
              <w:jc w:val="right"/>
              <w:rPr>
                <w:color w:val="000000"/>
                <w:sz w:val="22"/>
                <w:szCs w:val="22"/>
              </w:rPr>
            </w:pPr>
            <w:r w:rsidRPr="00874A11">
              <w:rPr>
                <w:color w:val="000000"/>
                <w:sz w:val="22"/>
                <w:szCs w:val="22"/>
              </w:rPr>
              <w:t>2030</w:t>
            </w:r>
          </w:p>
        </w:tc>
        <w:tc>
          <w:tcPr>
            <w:tcW w:w="1280" w:type="dxa"/>
            <w:tcBorders>
              <w:top w:val="nil"/>
              <w:left w:val="nil"/>
              <w:bottom w:val="single" w:sz="4" w:space="0" w:color="auto"/>
              <w:right w:val="single" w:sz="4" w:space="0" w:color="auto"/>
            </w:tcBorders>
            <w:shd w:val="clear" w:color="auto" w:fill="auto"/>
            <w:noWrap/>
            <w:vAlign w:val="bottom"/>
            <w:hideMark/>
          </w:tcPr>
          <w:p w14:paraId="235B041A" w14:textId="77777777" w:rsidR="0074735A" w:rsidRPr="00874A11" w:rsidRDefault="0074735A" w:rsidP="00C34E49">
            <w:pPr>
              <w:keepNext/>
              <w:jc w:val="right"/>
              <w:rPr>
                <w:color w:val="000000"/>
                <w:sz w:val="22"/>
                <w:szCs w:val="22"/>
              </w:rPr>
            </w:pPr>
            <w:r w:rsidRPr="00874A11">
              <w:rPr>
                <w:color w:val="000000"/>
                <w:sz w:val="22"/>
                <w:szCs w:val="22"/>
              </w:rPr>
              <w:t>60%</w:t>
            </w:r>
          </w:p>
        </w:tc>
        <w:tc>
          <w:tcPr>
            <w:tcW w:w="1280" w:type="dxa"/>
            <w:tcBorders>
              <w:top w:val="nil"/>
              <w:left w:val="nil"/>
              <w:bottom w:val="single" w:sz="4" w:space="0" w:color="auto"/>
              <w:right w:val="single" w:sz="4" w:space="0" w:color="auto"/>
            </w:tcBorders>
            <w:shd w:val="clear" w:color="auto" w:fill="auto"/>
            <w:noWrap/>
            <w:vAlign w:val="bottom"/>
            <w:hideMark/>
          </w:tcPr>
          <w:p w14:paraId="75B920ED" w14:textId="77777777" w:rsidR="0074735A" w:rsidRPr="00874A11" w:rsidRDefault="0074735A" w:rsidP="00C34E49">
            <w:pPr>
              <w:keepNext/>
              <w:jc w:val="right"/>
              <w:rPr>
                <w:color w:val="000000"/>
                <w:sz w:val="22"/>
                <w:szCs w:val="22"/>
              </w:rPr>
            </w:pPr>
            <w:r w:rsidRPr="00874A11">
              <w:rPr>
                <w:color w:val="000000"/>
                <w:sz w:val="22"/>
                <w:szCs w:val="22"/>
              </w:rPr>
              <w:t>N/A</w:t>
            </w:r>
          </w:p>
        </w:tc>
      </w:tr>
      <w:tr w:rsidR="00810CE7" w:rsidRPr="00810CE7" w14:paraId="798653B5" w14:textId="77777777" w:rsidTr="00810CE7">
        <w:trPr>
          <w:trHeight w:val="283"/>
          <w:jc w:val="center"/>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262E5F0E" w14:textId="77777777" w:rsidR="0074735A" w:rsidRPr="00874A11" w:rsidRDefault="0074735A" w:rsidP="00C34E49">
            <w:pPr>
              <w:keepNext/>
              <w:jc w:val="right"/>
              <w:rPr>
                <w:color w:val="000000"/>
                <w:sz w:val="22"/>
                <w:szCs w:val="22"/>
              </w:rPr>
            </w:pPr>
            <w:r w:rsidRPr="00874A11">
              <w:rPr>
                <w:color w:val="000000"/>
                <w:sz w:val="22"/>
                <w:szCs w:val="22"/>
              </w:rPr>
              <w:t>2031</w:t>
            </w:r>
          </w:p>
        </w:tc>
        <w:tc>
          <w:tcPr>
            <w:tcW w:w="1280" w:type="dxa"/>
            <w:tcBorders>
              <w:top w:val="nil"/>
              <w:left w:val="nil"/>
              <w:bottom w:val="single" w:sz="4" w:space="0" w:color="auto"/>
              <w:right w:val="single" w:sz="4" w:space="0" w:color="auto"/>
            </w:tcBorders>
            <w:shd w:val="clear" w:color="auto" w:fill="auto"/>
            <w:noWrap/>
            <w:vAlign w:val="bottom"/>
            <w:hideMark/>
          </w:tcPr>
          <w:p w14:paraId="5C016238" w14:textId="77777777" w:rsidR="0074735A" w:rsidRPr="00874A11" w:rsidRDefault="0074735A" w:rsidP="00C34E49">
            <w:pPr>
              <w:keepNext/>
              <w:jc w:val="right"/>
              <w:rPr>
                <w:color w:val="000000"/>
                <w:sz w:val="22"/>
                <w:szCs w:val="22"/>
              </w:rPr>
            </w:pPr>
            <w:r w:rsidRPr="00874A11">
              <w:rPr>
                <w:color w:val="000000"/>
                <w:sz w:val="22"/>
                <w:szCs w:val="22"/>
              </w:rPr>
              <w:t>60%</w:t>
            </w:r>
          </w:p>
        </w:tc>
        <w:tc>
          <w:tcPr>
            <w:tcW w:w="1280" w:type="dxa"/>
            <w:tcBorders>
              <w:top w:val="nil"/>
              <w:left w:val="nil"/>
              <w:bottom w:val="single" w:sz="4" w:space="0" w:color="auto"/>
              <w:right w:val="single" w:sz="4" w:space="0" w:color="auto"/>
            </w:tcBorders>
            <w:shd w:val="clear" w:color="auto" w:fill="auto"/>
            <w:noWrap/>
            <w:vAlign w:val="bottom"/>
            <w:hideMark/>
          </w:tcPr>
          <w:p w14:paraId="3C21D8C8" w14:textId="77777777" w:rsidR="0074735A" w:rsidRPr="00874A11" w:rsidRDefault="0074735A" w:rsidP="00C34E49">
            <w:pPr>
              <w:keepNext/>
              <w:jc w:val="right"/>
              <w:rPr>
                <w:color w:val="000000"/>
                <w:sz w:val="22"/>
                <w:szCs w:val="22"/>
              </w:rPr>
            </w:pPr>
            <w:r w:rsidRPr="00874A11">
              <w:rPr>
                <w:color w:val="000000"/>
                <w:sz w:val="22"/>
                <w:szCs w:val="22"/>
              </w:rPr>
              <w:t>78%</w:t>
            </w:r>
          </w:p>
        </w:tc>
      </w:tr>
      <w:tr w:rsidR="00810CE7" w:rsidRPr="00810CE7" w14:paraId="73DE1DA8" w14:textId="77777777" w:rsidTr="00810CE7">
        <w:trPr>
          <w:trHeight w:val="283"/>
          <w:jc w:val="center"/>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31464BE7" w14:textId="77777777" w:rsidR="0074735A" w:rsidRPr="00874A11" w:rsidRDefault="0074735A" w:rsidP="00C34E49">
            <w:pPr>
              <w:keepNext/>
              <w:jc w:val="right"/>
              <w:rPr>
                <w:color w:val="000000"/>
                <w:sz w:val="22"/>
                <w:szCs w:val="22"/>
              </w:rPr>
            </w:pPr>
            <w:r w:rsidRPr="00874A11">
              <w:rPr>
                <w:color w:val="000000"/>
                <w:sz w:val="22"/>
                <w:szCs w:val="22"/>
              </w:rPr>
              <w:t>2032</w:t>
            </w:r>
          </w:p>
        </w:tc>
        <w:tc>
          <w:tcPr>
            <w:tcW w:w="1280" w:type="dxa"/>
            <w:tcBorders>
              <w:top w:val="nil"/>
              <w:left w:val="nil"/>
              <w:bottom w:val="single" w:sz="4" w:space="0" w:color="auto"/>
              <w:right w:val="single" w:sz="4" w:space="0" w:color="auto"/>
            </w:tcBorders>
            <w:shd w:val="clear" w:color="auto" w:fill="auto"/>
            <w:noWrap/>
            <w:vAlign w:val="bottom"/>
            <w:hideMark/>
          </w:tcPr>
          <w:p w14:paraId="70DAAE36" w14:textId="77777777" w:rsidR="0074735A" w:rsidRPr="00874A11" w:rsidRDefault="0074735A" w:rsidP="00C34E49">
            <w:pPr>
              <w:keepNext/>
              <w:jc w:val="right"/>
              <w:rPr>
                <w:color w:val="000000"/>
                <w:sz w:val="22"/>
                <w:szCs w:val="22"/>
              </w:rPr>
            </w:pPr>
            <w:r w:rsidRPr="00874A11">
              <w:rPr>
                <w:color w:val="000000"/>
                <w:sz w:val="22"/>
                <w:szCs w:val="22"/>
              </w:rPr>
              <w:t>60%</w:t>
            </w:r>
          </w:p>
        </w:tc>
        <w:tc>
          <w:tcPr>
            <w:tcW w:w="1280" w:type="dxa"/>
            <w:tcBorders>
              <w:top w:val="nil"/>
              <w:left w:val="nil"/>
              <w:bottom w:val="single" w:sz="4" w:space="0" w:color="auto"/>
              <w:right w:val="single" w:sz="4" w:space="0" w:color="auto"/>
            </w:tcBorders>
            <w:shd w:val="clear" w:color="auto" w:fill="auto"/>
            <w:noWrap/>
            <w:vAlign w:val="bottom"/>
            <w:hideMark/>
          </w:tcPr>
          <w:p w14:paraId="105A50E5" w14:textId="77777777" w:rsidR="0074735A" w:rsidRPr="00874A11" w:rsidRDefault="0074735A" w:rsidP="00C34E49">
            <w:pPr>
              <w:keepNext/>
              <w:jc w:val="right"/>
              <w:rPr>
                <w:color w:val="000000"/>
                <w:sz w:val="22"/>
                <w:szCs w:val="22"/>
              </w:rPr>
            </w:pPr>
            <w:r w:rsidRPr="00874A11">
              <w:rPr>
                <w:color w:val="000000"/>
                <w:sz w:val="22"/>
                <w:szCs w:val="22"/>
              </w:rPr>
              <w:t>81%</w:t>
            </w:r>
          </w:p>
        </w:tc>
      </w:tr>
      <w:tr w:rsidR="00810CE7" w:rsidRPr="00810CE7" w14:paraId="7DC5C35C" w14:textId="77777777" w:rsidTr="00810CE7">
        <w:trPr>
          <w:trHeight w:val="283"/>
          <w:jc w:val="center"/>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2B24A647" w14:textId="77777777" w:rsidR="0074735A" w:rsidRPr="00874A11" w:rsidRDefault="0074735A" w:rsidP="00C34E49">
            <w:pPr>
              <w:keepNext/>
              <w:jc w:val="right"/>
              <w:rPr>
                <w:color w:val="000000"/>
                <w:sz w:val="22"/>
                <w:szCs w:val="22"/>
              </w:rPr>
            </w:pPr>
            <w:r w:rsidRPr="00874A11">
              <w:rPr>
                <w:color w:val="000000"/>
                <w:sz w:val="22"/>
                <w:szCs w:val="22"/>
              </w:rPr>
              <w:t>2033</w:t>
            </w:r>
          </w:p>
        </w:tc>
        <w:tc>
          <w:tcPr>
            <w:tcW w:w="1280" w:type="dxa"/>
            <w:tcBorders>
              <w:top w:val="nil"/>
              <w:left w:val="nil"/>
              <w:bottom w:val="single" w:sz="4" w:space="0" w:color="auto"/>
              <w:right w:val="single" w:sz="4" w:space="0" w:color="auto"/>
            </w:tcBorders>
            <w:shd w:val="clear" w:color="auto" w:fill="auto"/>
            <w:noWrap/>
            <w:vAlign w:val="bottom"/>
            <w:hideMark/>
          </w:tcPr>
          <w:p w14:paraId="380BA92A" w14:textId="77777777" w:rsidR="0074735A" w:rsidRPr="00874A11" w:rsidRDefault="0074735A" w:rsidP="00C34E49">
            <w:pPr>
              <w:keepNext/>
              <w:jc w:val="right"/>
              <w:rPr>
                <w:color w:val="000000"/>
                <w:sz w:val="22"/>
                <w:szCs w:val="22"/>
              </w:rPr>
            </w:pPr>
            <w:r w:rsidRPr="00874A11">
              <w:rPr>
                <w:color w:val="000000"/>
                <w:sz w:val="22"/>
                <w:szCs w:val="22"/>
              </w:rPr>
              <w:t>60%</w:t>
            </w:r>
          </w:p>
        </w:tc>
        <w:tc>
          <w:tcPr>
            <w:tcW w:w="1280" w:type="dxa"/>
            <w:tcBorders>
              <w:top w:val="nil"/>
              <w:left w:val="nil"/>
              <w:bottom w:val="single" w:sz="4" w:space="0" w:color="auto"/>
              <w:right w:val="single" w:sz="4" w:space="0" w:color="auto"/>
            </w:tcBorders>
            <w:shd w:val="clear" w:color="auto" w:fill="auto"/>
            <w:noWrap/>
            <w:vAlign w:val="bottom"/>
            <w:hideMark/>
          </w:tcPr>
          <w:p w14:paraId="32659304" w14:textId="77777777" w:rsidR="0074735A" w:rsidRPr="00874A11" w:rsidRDefault="0074735A" w:rsidP="00C34E49">
            <w:pPr>
              <w:keepNext/>
              <w:jc w:val="right"/>
              <w:rPr>
                <w:color w:val="000000"/>
                <w:sz w:val="22"/>
                <w:szCs w:val="22"/>
              </w:rPr>
            </w:pPr>
            <w:r w:rsidRPr="00874A11">
              <w:rPr>
                <w:color w:val="000000"/>
                <w:sz w:val="22"/>
                <w:szCs w:val="22"/>
              </w:rPr>
              <w:t>84%</w:t>
            </w:r>
          </w:p>
        </w:tc>
      </w:tr>
      <w:tr w:rsidR="00810CE7" w:rsidRPr="00810CE7" w14:paraId="744E4403" w14:textId="77777777" w:rsidTr="00810CE7">
        <w:trPr>
          <w:trHeight w:val="283"/>
          <w:jc w:val="center"/>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26E4A87E" w14:textId="77777777" w:rsidR="0074735A" w:rsidRPr="00874A11" w:rsidRDefault="0074735A" w:rsidP="00C34E49">
            <w:pPr>
              <w:keepNext/>
              <w:jc w:val="right"/>
              <w:rPr>
                <w:color w:val="000000"/>
                <w:sz w:val="22"/>
                <w:szCs w:val="22"/>
              </w:rPr>
            </w:pPr>
            <w:r w:rsidRPr="00874A11">
              <w:rPr>
                <w:color w:val="000000"/>
                <w:sz w:val="22"/>
                <w:szCs w:val="22"/>
              </w:rPr>
              <w:t>2034</w:t>
            </w:r>
          </w:p>
        </w:tc>
        <w:tc>
          <w:tcPr>
            <w:tcW w:w="1280" w:type="dxa"/>
            <w:tcBorders>
              <w:top w:val="nil"/>
              <w:left w:val="nil"/>
              <w:bottom w:val="single" w:sz="4" w:space="0" w:color="auto"/>
              <w:right w:val="single" w:sz="4" w:space="0" w:color="auto"/>
            </w:tcBorders>
            <w:shd w:val="clear" w:color="auto" w:fill="auto"/>
            <w:noWrap/>
            <w:vAlign w:val="bottom"/>
            <w:hideMark/>
          </w:tcPr>
          <w:p w14:paraId="2D20BE38" w14:textId="77777777" w:rsidR="0074735A" w:rsidRPr="00874A11" w:rsidRDefault="0074735A" w:rsidP="00C34E49">
            <w:pPr>
              <w:keepNext/>
              <w:jc w:val="right"/>
              <w:rPr>
                <w:color w:val="000000"/>
                <w:sz w:val="22"/>
                <w:szCs w:val="22"/>
              </w:rPr>
            </w:pPr>
            <w:r w:rsidRPr="00874A11">
              <w:rPr>
                <w:color w:val="000000"/>
                <w:sz w:val="22"/>
                <w:szCs w:val="22"/>
              </w:rPr>
              <w:t>60%</w:t>
            </w:r>
          </w:p>
        </w:tc>
        <w:tc>
          <w:tcPr>
            <w:tcW w:w="1280" w:type="dxa"/>
            <w:tcBorders>
              <w:top w:val="nil"/>
              <w:left w:val="nil"/>
              <w:bottom w:val="single" w:sz="4" w:space="0" w:color="auto"/>
              <w:right w:val="single" w:sz="4" w:space="0" w:color="auto"/>
            </w:tcBorders>
            <w:shd w:val="clear" w:color="auto" w:fill="auto"/>
            <w:noWrap/>
            <w:vAlign w:val="bottom"/>
            <w:hideMark/>
          </w:tcPr>
          <w:p w14:paraId="5C2E3904" w14:textId="77777777" w:rsidR="0074735A" w:rsidRPr="00874A11" w:rsidRDefault="0074735A" w:rsidP="00C34E49">
            <w:pPr>
              <w:keepNext/>
              <w:jc w:val="right"/>
              <w:rPr>
                <w:color w:val="000000"/>
                <w:sz w:val="22"/>
                <w:szCs w:val="22"/>
              </w:rPr>
            </w:pPr>
            <w:r w:rsidRPr="00874A11">
              <w:rPr>
                <w:color w:val="000000"/>
                <w:sz w:val="22"/>
                <w:szCs w:val="22"/>
              </w:rPr>
              <w:t>87%</w:t>
            </w:r>
          </w:p>
        </w:tc>
      </w:tr>
      <w:tr w:rsidR="00810CE7" w:rsidRPr="00810CE7" w14:paraId="51B38754" w14:textId="77777777" w:rsidTr="00810CE7">
        <w:trPr>
          <w:trHeight w:val="283"/>
          <w:jc w:val="center"/>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79942710" w14:textId="77777777" w:rsidR="0074735A" w:rsidRPr="00874A11" w:rsidRDefault="0074735A" w:rsidP="00C34E49">
            <w:pPr>
              <w:keepNext/>
              <w:jc w:val="right"/>
              <w:rPr>
                <w:color w:val="000000"/>
                <w:sz w:val="22"/>
                <w:szCs w:val="22"/>
              </w:rPr>
            </w:pPr>
            <w:r w:rsidRPr="00874A11">
              <w:rPr>
                <w:color w:val="000000"/>
                <w:sz w:val="22"/>
                <w:szCs w:val="22"/>
              </w:rPr>
              <w:t>2035</w:t>
            </w:r>
          </w:p>
        </w:tc>
        <w:tc>
          <w:tcPr>
            <w:tcW w:w="1280" w:type="dxa"/>
            <w:tcBorders>
              <w:top w:val="nil"/>
              <w:left w:val="nil"/>
              <w:bottom w:val="single" w:sz="4" w:space="0" w:color="auto"/>
              <w:right w:val="single" w:sz="4" w:space="0" w:color="auto"/>
            </w:tcBorders>
            <w:shd w:val="clear" w:color="auto" w:fill="auto"/>
            <w:noWrap/>
            <w:vAlign w:val="bottom"/>
            <w:hideMark/>
          </w:tcPr>
          <w:p w14:paraId="43AB9A4E" w14:textId="77777777" w:rsidR="0074735A" w:rsidRPr="00874A11" w:rsidRDefault="0074735A" w:rsidP="00C34E49">
            <w:pPr>
              <w:keepNext/>
              <w:jc w:val="right"/>
              <w:rPr>
                <w:color w:val="000000"/>
                <w:sz w:val="22"/>
                <w:szCs w:val="22"/>
              </w:rPr>
            </w:pPr>
            <w:r w:rsidRPr="00874A11">
              <w:rPr>
                <w:color w:val="000000"/>
                <w:sz w:val="22"/>
                <w:szCs w:val="22"/>
              </w:rPr>
              <w:t>60%</w:t>
            </w:r>
          </w:p>
        </w:tc>
        <w:tc>
          <w:tcPr>
            <w:tcW w:w="1280" w:type="dxa"/>
            <w:tcBorders>
              <w:top w:val="nil"/>
              <w:left w:val="nil"/>
              <w:bottom w:val="single" w:sz="4" w:space="0" w:color="auto"/>
              <w:right w:val="single" w:sz="4" w:space="0" w:color="auto"/>
            </w:tcBorders>
            <w:shd w:val="clear" w:color="auto" w:fill="auto"/>
            <w:noWrap/>
            <w:vAlign w:val="bottom"/>
            <w:hideMark/>
          </w:tcPr>
          <w:p w14:paraId="294B882A" w14:textId="77777777" w:rsidR="0074735A" w:rsidRPr="00874A11" w:rsidRDefault="0074735A" w:rsidP="00C34E49">
            <w:pPr>
              <w:keepNext/>
              <w:jc w:val="right"/>
              <w:rPr>
                <w:color w:val="000000"/>
                <w:sz w:val="22"/>
                <w:szCs w:val="22"/>
              </w:rPr>
            </w:pPr>
            <w:r w:rsidRPr="00874A11">
              <w:rPr>
                <w:color w:val="000000"/>
                <w:sz w:val="22"/>
                <w:szCs w:val="22"/>
              </w:rPr>
              <w:t>90%</w:t>
            </w:r>
          </w:p>
        </w:tc>
      </w:tr>
      <w:tr w:rsidR="00810CE7" w:rsidRPr="00810CE7" w14:paraId="1AEEC7B3" w14:textId="77777777" w:rsidTr="00810CE7">
        <w:trPr>
          <w:trHeight w:val="283"/>
          <w:jc w:val="center"/>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6F5B73B6" w14:textId="77777777" w:rsidR="0074735A" w:rsidRPr="00874A11" w:rsidRDefault="0074735A" w:rsidP="00C34E49">
            <w:pPr>
              <w:keepNext/>
              <w:jc w:val="right"/>
              <w:rPr>
                <w:color w:val="000000"/>
                <w:sz w:val="22"/>
                <w:szCs w:val="22"/>
              </w:rPr>
            </w:pPr>
            <w:r w:rsidRPr="00874A11">
              <w:rPr>
                <w:color w:val="000000"/>
                <w:sz w:val="22"/>
                <w:szCs w:val="22"/>
              </w:rPr>
              <w:t>2036</w:t>
            </w:r>
          </w:p>
        </w:tc>
        <w:tc>
          <w:tcPr>
            <w:tcW w:w="1280" w:type="dxa"/>
            <w:tcBorders>
              <w:top w:val="nil"/>
              <w:left w:val="nil"/>
              <w:bottom w:val="single" w:sz="4" w:space="0" w:color="auto"/>
              <w:right w:val="single" w:sz="4" w:space="0" w:color="auto"/>
            </w:tcBorders>
            <w:shd w:val="clear" w:color="auto" w:fill="auto"/>
            <w:noWrap/>
            <w:vAlign w:val="bottom"/>
            <w:hideMark/>
          </w:tcPr>
          <w:p w14:paraId="2272F0EC" w14:textId="77777777" w:rsidR="0074735A" w:rsidRPr="00874A11" w:rsidRDefault="0074735A" w:rsidP="00C34E49">
            <w:pPr>
              <w:keepNext/>
              <w:jc w:val="right"/>
              <w:rPr>
                <w:color w:val="000000"/>
                <w:sz w:val="22"/>
                <w:szCs w:val="22"/>
              </w:rPr>
            </w:pPr>
            <w:r w:rsidRPr="00874A11">
              <w:rPr>
                <w:color w:val="000000"/>
                <w:sz w:val="22"/>
                <w:szCs w:val="22"/>
              </w:rPr>
              <w:t>60%</w:t>
            </w:r>
          </w:p>
        </w:tc>
        <w:tc>
          <w:tcPr>
            <w:tcW w:w="1280" w:type="dxa"/>
            <w:tcBorders>
              <w:top w:val="nil"/>
              <w:left w:val="nil"/>
              <w:bottom w:val="single" w:sz="4" w:space="0" w:color="auto"/>
              <w:right w:val="single" w:sz="4" w:space="0" w:color="auto"/>
            </w:tcBorders>
            <w:shd w:val="clear" w:color="auto" w:fill="auto"/>
            <w:noWrap/>
            <w:vAlign w:val="bottom"/>
            <w:hideMark/>
          </w:tcPr>
          <w:p w14:paraId="2E91657A" w14:textId="77777777" w:rsidR="0074735A" w:rsidRPr="00874A11" w:rsidRDefault="0074735A" w:rsidP="00C34E49">
            <w:pPr>
              <w:keepNext/>
              <w:jc w:val="right"/>
              <w:rPr>
                <w:color w:val="000000"/>
                <w:sz w:val="22"/>
                <w:szCs w:val="22"/>
              </w:rPr>
            </w:pPr>
            <w:r w:rsidRPr="00874A11">
              <w:rPr>
                <w:color w:val="000000"/>
                <w:sz w:val="22"/>
                <w:szCs w:val="22"/>
              </w:rPr>
              <w:t>91%</w:t>
            </w:r>
          </w:p>
        </w:tc>
      </w:tr>
      <w:tr w:rsidR="00810CE7" w:rsidRPr="00810CE7" w14:paraId="0FC37AB8" w14:textId="77777777" w:rsidTr="00810CE7">
        <w:trPr>
          <w:trHeight w:val="283"/>
          <w:jc w:val="center"/>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556FD15A" w14:textId="77777777" w:rsidR="0074735A" w:rsidRPr="00874A11" w:rsidRDefault="0074735A" w:rsidP="00C34E49">
            <w:pPr>
              <w:keepNext/>
              <w:jc w:val="right"/>
              <w:rPr>
                <w:color w:val="000000"/>
                <w:sz w:val="22"/>
                <w:szCs w:val="22"/>
              </w:rPr>
            </w:pPr>
            <w:r w:rsidRPr="00874A11">
              <w:rPr>
                <w:color w:val="000000"/>
                <w:sz w:val="22"/>
                <w:szCs w:val="22"/>
              </w:rPr>
              <w:t>2037</w:t>
            </w:r>
          </w:p>
        </w:tc>
        <w:tc>
          <w:tcPr>
            <w:tcW w:w="1280" w:type="dxa"/>
            <w:tcBorders>
              <w:top w:val="nil"/>
              <w:left w:val="nil"/>
              <w:bottom w:val="single" w:sz="4" w:space="0" w:color="auto"/>
              <w:right w:val="single" w:sz="4" w:space="0" w:color="auto"/>
            </w:tcBorders>
            <w:shd w:val="clear" w:color="auto" w:fill="auto"/>
            <w:noWrap/>
            <w:vAlign w:val="bottom"/>
            <w:hideMark/>
          </w:tcPr>
          <w:p w14:paraId="3DBF53CB" w14:textId="77777777" w:rsidR="0074735A" w:rsidRPr="00874A11" w:rsidRDefault="0074735A" w:rsidP="00C34E49">
            <w:pPr>
              <w:keepNext/>
              <w:jc w:val="right"/>
              <w:rPr>
                <w:color w:val="000000"/>
                <w:sz w:val="22"/>
                <w:szCs w:val="22"/>
              </w:rPr>
            </w:pPr>
            <w:r w:rsidRPr="00874A11">
              <w:rPr>
                <w:color w:val="000000"/>
                <w:sz w:val="22"/>
                <w:szCs w:val="22"/>
              </w:rPr>
              <w:t>60%</w:t>
            </w:r>
          </w:p>
        </w:tc>
        <w:tc>
          <w:tcPr>
            <w:tcW w:w="1280" w:type="dxa"/>
            <w:tcBorders>
              <w:top w:val="nil"/>
              <w:left w:val="nil"/>
              <w:bottom w:val="single" w:sz="4" w:space="0" w:color="auto"/>
              <w:right w:val="single" w:sz="4" w:space="0" w:color="auto"/>
            </w:tcBorders>
            <w:shd w:val="clear" w:color="auto" w:fill="auto"/>
            <w:noWrap/>
            <w:vAlign w:val="bottom"/>
            <w:hideMark/>
          </w:tcPr>
          <w:p w14:paraId="6FFE7460" w14:textId="77777777" w:rsidR="0074735A" w:rsidRPr="00874A11" w:rsidRDefault="0074735A" w:rsidP="00C34E49">
            <w:pPr>
              <w:keepNext/>
              <w:jc w:val="right"/>
              <w:rPr>
                <w:color w:val="000000"/>
                <w:sz w:val="22"/>
                <w:szCs w:val="22"/>
              </w:rPr>
            </w:pPr>
            <w:r w:rsidRPr="00874A11">
              <w:rPr>
                <w:color w:val="000000"/>
                <w:sz w:val="22"/>
                <w:szCs w:val="22"/>
              </w:rPr>
              <w:t>92%</w:t>
            </w:r>
          </w:p>
        </w:tc>
      </w:tr>
      <w:tr w:rsidR="00810CE7" w:rsidRPr="00810CE7" w14:paraId="37BC728C" w14:textId="77777777" w:rsidTr="00810CE7">
        <w:trPr>
          <w:trHeight w:val="283"/>
          <w:jc w:val="center"/>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5947916D" w14:textId="77777777" w:rsidR="0074735A" w:rsidRPr="00874A11" w:rsidRDefault="0074735A" w:rsidP="00C34E49">
            <w:pPr>
              <w:keepNext/>
              <w:jc w:val="right"/>
              <w:rPr>
                <w:color w:val="000000"/>
                <w:sz w:val="22"/>
                <w:szCs w:val="22"/>
              </w:rPr>
            </w:pPr>
            <w:r w:rsidRPr="00874A11">
              <w:rPr>
                <w:color w:val="000000"/>
                <w:sz w:val="22"/>
                <w:szCs w:val="22"/>
              </w:rPr>
              <w:t>2038</w:t>
            </w:r>
          </w:p>
        </w:tc>
        <w:tc>
          <w:tcPr>
            <w:tcW w:w="1280" w:type="dxa"/>
            <w:tcBorders>
              <w:top w:val="nil"/>
              <w:left w:val="nil"/>
              <w:bottom w:val="single" w:sz="4" w:space="0" w:color="auto"/>
              <w:right w:val="single" w:sz="4" w:space="0" w:color="auto"/>
            </w:tcBorders>
            <w:shd w:val="clear" w:color="auto" w:fill="auto"/>
            <w:noWrap/>
            <w:vAlign w:val="bottom"/>
            <w:hideMark/>
          </w:tcPr>
          <w:p w14:paraId="29A2DF5C" w14:textId="77777777" w:rsidR="0074735A" w:rsidRPr="00874A11" w:rsidRDefault="0074735A" w:rsidP="00C34E49">
            <w:pPr>
              <w:keepNext/>
              <w:jc w:val="right"/>
              <w:rPr>
                <w:color w:val="000000"/>
                <w:sz w:val="22"/>
                <w:szCs w:val="22"/>
              </w:rPr>
            </w:pPr>
            <w:r w:rsidRPr="00874A11">
              <w:rPr>
                <w:color w:val="000000"/>
                <w:sz w:val="22"/>
                <w:szCs w:val="22"/>
              </w:rPr>
              <w:t>60%</w:t>
            </w:r>
          </w:p>
        </w:tc>
        <w:tc>
          <w:tcPr>
            <w:tcW w:w="1280" w:type="dxa"/>
            <w:tcBorders>
              <w:top w:val="nil"/>
              <w:left w:val="nil"/>
              <w:bottom w:val="single" w:sz="4" w:space="0" w:color="auto"/>
              <w:right w:val="single" w:sz="4" w:space="0" w:color="auto"/>
            </w:tcBorders>
            <w:shd w:val="clear" w:color="auto" w:fill="auto"/>
            <w:noWrap/>
            <w:vAlign w:val="bottom"/>
            <w:hideMark/>
          </w:tcPr>
          <w:p w14:paraId="685FA150" w14:textId="77777777" w:rsidR="0074735A" w:rsidRPr="00874A11" w:rsidRDefault="0074735A" w:rsidP="00C34E49">
            <w:pPr>
              <w:keepNext/>
              <w:jc w:val="right"/>
              <w:rPr>
                <w:color w:val="000000"/>
                <w:sz w:val="22"/>
                <w:szCs w:val="22"/>
              </w:rPr>
            </w:pPr>
            <w:r w:rsidRPr="00874A11">
              <w:rPr>
                <w:color w:val="000000"/>
                <w:sz w:val="22"/>
                <w:szCs w:val="22"/>
              </w:rPr>
              <w:t>93%</w:t>
            </w:r>
          </w:p>
        </w:tc>
      </w:tr>
      <w:tr w:rsidR="00810CE7" w:rsidRPr="00810CE7" w14:paraId="162ED549" w14:textId="77777777" w:rsidTr="00810CE7">
        <w:trPr>
          <w:trHeight w:val="283"/>
          <w:jc w:val="center"/>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538341B2" w14:textId="77777777" w:rsidR="0074735A" w:rsidRPr="00874A11" w:rsidRDefault="0074735A" w:rsidP="00C34E49">
            <w:pPr>
              <w:keepNext/>
              <w:jc w:val="right"/>
              <w:rPr>
                <w:color w:val="000000"/>
                <w:sz w:val="22"/>
                <w:szCs w:val="22"/>
              </w:rPr>
            </w:pPr>
            <w:r w:rsidRPr="00874A11">
              <w:rPr>
                <w:color w:val="000000"/>
                <w:sz w:val="22"/>
                <w:szCs w:val="22"/>
              </w:rPr>
              <w:t>2039</w:t>
            </w:r>
          </w:p>
        </w:tc>
        <w:tc>
          <w:tcPr>
            <w:tcW w:w="1280" w:type="dxa"/>
            <w:tcBorders>
              <w:top w:val="nil"/>
              <w:left w:val="nil"/>
              <w:bottom w:val="single" w:sz="4" w:space="0" w:color="auto"/>
              <w:right w:val="single" w:sz="4" w:space="0" w:color="auto"/>
            </w:tcBorders>
            <w:shd w:val="clear" w:color="auto" w:fill="auto"/>
            <w:noWrap/>
            <w:vAlign w:val="bottom"/>
            <w:hideMark/>
          </w:tcPr>
          <w:p w14:paraId="6D7C2586" w14:textId="77777777" w:rsidR="0074735A" w:rsidRPr="00874A11" w:rsidRDefault="0074735A" w:rsidP="00C34E49">
            <w:pPr>
              <w:keepNext/>
              <w:jc w:val="right"/>
              <w:rPr>
                <w:color w:val="000000"/>
                <w:sz w:val="22"/>
                <w:szCs w:val="22"/>
              </w:rPr>
            </w:pPr>
            <w:r w:rsidRPr="00874A11">
              <w:rPr>
                <w:color w:val="000000"/>
                <w:sz w:val="22"/>
                <w:szCs w:val="22"/>
              </w:rPr>
              <w:t>60%</w:t>
            </w:r>
          </w:p>
        </w:tc>
        <w:tc>
          <w:tcPr>
            <w:tcW w:w="1280" w:type="dxa"/>
            <w:tcBorders>
              <w:top w:val="nil"/>
              <w:left w:val="nil"/>
              <w:bottom w:val="single" w:sz="4" w:space="0" w:color="auto"/>
              <w:right w:val="single" w:sz="4" w:space="0" w:color="auto"/>
            </w:tcBorders>
            <w:shd w:val="clear" w:color="auto" w:fill="auto"/>
            <w:noWrap/>
            <w:vAlign w:val="bottom"/>
            <w:hideMark/>
          </w:tcPr>
          <w:p w14:paraId="4EB87A0B" w14:textId="77777777" w:rsidR="0074735A" w:rsidRPr="00874A11" w:rsidRDefault="0074735A" w:rsidP="00C34E49">
            <w:pPr>
              <w:keepNext/>
              <w:jc w:val="right"/>
              <w:rPr>
                <w:color w:val="000000"/>
                <w:sz w:val="22"/>
                <w:szCs w:val="22"/>
              </w:rPr>
            </w:pPr>
            <w:r w:rsidRPr="00874A11">
              <w:rPr>
                <w:color w:val="000000"/>
                <w:sz w:val="22"/>
                <w:szCs w:val="22"/>
              </w:rPr>
              <w:t>94%</w:t>
            </w:r>
          </w:p>
        </w:tc>
      </w:tr>
      <w:tr w:rsidR="00810CE7" w:rsidRPr="00810CE7" w14:paraId="79A16B61" w14:textId="77777777" w:rsidTr="00810CE7">
        <w:trPr>
          <w:trHeight w:val="283"/>
          <w:jc w:val="center"/>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1DB90A78" w14:textId="77777777" w:rsidR="0074735A" w:rsidRPr="00874A11" w:rsidRDefault="0074735A" w:rsidP="00C34E49">
            <w:pPr>
              <w:keepNext/>
              <w:jc w:val="right"/>
              <w:rPr>
                <w:color w:val="000000"/>
                <w:sz w:val="22"/>
                <w:szCs w:val="22"/>
              </w:rPr>
            </w:pPr>
            <w:r w:rsidRPr="00874A11">
              <w:rPr>
                <w:color w:val="000000"/>
                <w:sz w:val="22"/>
                <w:szCs w:val="22"/>
              </w:rPr>
              <w:t>2040</w:t>
            </w:r>
          </w:p>
        </w:tc>
        <w:tc>
          <w:tcPr>
            <w:tcW w:w="1280" w:type="dxa"/>
            <w:tcBorders>
              <w:top w:val="nil"/>
              <w:left w:val="nil"/>
              <w:bottom w:val="single" w:sz="4" w:space="0" w:color="auto"/>
              <w:right w:val="single" w:sz="4" w:space="0" w:color="auto"/>
            </w:tcBorders>
            <w:shd w:val="clear" w:color="auto" w:fill="auto"/>
            <w:noWrap/>
            <w:vAlign w:val="bottom"/>
            <w:hideMark/>
          </w:tcPr>
          <w:p w14:paraId="5ED352DE" w14:textId="77777777" w:rsidR="0074735A" w:rsidRPr="00874A11" w:rsidRDefault="0074735A" w:rsidP="00C34E49">
            <w:pPr>
              <w:keepNext/>
              <w:jc w:val="right"/>
              <w:rPr>
                <w:color w:val="000000"/>
                <w:sz w:val="22"/>
                <w:szCs w:val="22"/>
              </w:rPr>
            </w:pPr>
            <w:r w:rsidRPr="00874A11">
              <w:rPr>
                <w:color w:val="000000"/>
                <w:sz w:val="22"/>
                <w:szCs w:val="22"/>
              </w:rPr>
              <w:t>60%</w:t>
            </w:r>
          </w:p>
        </w:tc>
        <w:tc>
          <w:tcPr>
            <w:tcW w:w="1280" w:type="dxa"/>
            <w:tcBorders>
              <w:top w:val="nil"/>
              <w:left w:val="nil"/>
              <w:bottom w:val="single" w:sz="4" w:space="0" w:color="auto"/>
              <w:right w:val="single" w:sz="4" w:space="0" w:color="auto"/>
            </w:tcBorders>
            <w:shd w:val="clear" w:color="auto" w:fill="auto"/>
            <w:noWrap/>
            <w:vAlign w:val="bottom"/>
            <w:hideMark/>
          </w:tcPr>
          <w:p w14:paraId="6C1EEE1B" w14:textId="77777777" w:rsidR="0074735A" w:rsidRPr="00874A11" w:rsidRDefault="0074735A" w:rsidP="00C34E49">
            <w:pPr>
              <w:keepNext/>
              <w:jc w:val="right"/>
              <w:rPr>
                <w:color w:val="000000"/>
                <w:sz w:val="22"/>
                <w:szCs w:val="22"/>
              </w:rPr>
            </w:pPr>
            <w:r w:rsidRPr="00874A11">
              <w:rPr>
                <w:color w:val="000000"/>
                <w:sz w:val="22"/>
                <w:szCs w:val="22"/>
              </w:rPr>
              <w:t>95%</w:t>
            </w:r>
          </w:p>
        </w:tc>
      </w:tr>
    </w:tbl>
    <w:p w14:paraId="18A3DDF5" w14:textId="77777777" w:rsidR="0074735A" w:rsidRPr="00874A11" w:rsidRDefault="0074735A" w:rsidP="00874A11">
      <w:pPr>
        <w:jc w:val="center"/>
        <w:rPr>
          <w:b/>
          <w:bCs/>
        </w:rPr>
      </w:pPr>
    </w:p>
    <w:p w14:paraId="1E297810" w14:textId="77777777" w:rsidR="00BC5F64" w:rsidRDefault="00BC5F64" w:rsidP="001C211C">
      <w:pPr>
        <w:pStyle w:val="Heading1"/>
        <w:shd w:val="clear" w:color="auto" w:fill="007033"/>
        <w:rPr>
          <w:color w:val="FFFFFF" w:themeColor="background1"/>
        </w:rPr>
        <w:sectPr w:rsidR="00BC5F64" w:rsidSect="0068155A">
          <w:pgSz w:w="12240" w:h="15840"/>
          <w:pgMar w:top="1440" w:right="1440" w:bottom="1440" w:left="1440" w:header="720" w:footer="720" w:gutter="0"/>
          <w:cols w:space="720"/>
          <w:docGrid w:linePitch="360"/>
        </w:sectPr>
      </w:pPr>
    </w:p>
    <w:p w14:paraId="16174472" w14:textId="55606EC3" w:rsidR="00E31E0D" w:rsidRPr="00E31E0D" w:rsidRDefault="00E31E0D" w:rsidP="00E31E0D">
      <w:pPr>
        <w:pStyle w:val="Heading1"/>
        <w:shd w:val="clear" w:color="auto" w:fill="007033"/>
        <w:rPr>
          <w:color w:val="FFFFFF" w:themeColor="background1"/>
        </w:rPr>
      </w:pPr>
      <w:bookmarkStart w:id="35" w:name="_Toc153451654"/>
      <w:r>
        <w:rPr>
          <w:color w:val="FFFFFF" w:themeColor="background1"/>
        </w:rPr>
        <w:lastRenderedPageBreak/>
        <w:t>Appendix B: Additional IRP Model Assumptions and Findings</w:t>
      </w:r>
      <w:bookmarkEnd w:id="35"/>
    </w:p>
    <w:p w14:paraId="3CC4800E" w14:textId="1CDAB92C" w:rsidR="008B7898" w:rsidRDefault="008B7898" w:rsidP="00B52E15">
      <w:pPr>
        <w:spacing w:before="120" w:after="120"/>
        <w:jc w:val="center"/>
        <w:rPr>
          <w:b/>
          <w:bCs/>
        </w:rPr>
      </w:pPr>
      <w:r w:rsidRPr="00874A11">
        <w:rPr>
          <w:b/>
          <w:bCs/>
        </w:rPr>
        <w:t xml:space="preserve">Table </w:t>
      </w:r>
      <w:r>
        <w:rPr>
          <w:b/>
          <w:bCs/>
        </w:rPr>
        <w:t>B-1</w:t>
      </w:r>
      <w:r w:rsidRPr="00874A11">
        <w:rPr>
          <w:b/>
          <w:bCs/>
        </w:rPr>
        <w:t xml:space="preserve">: Performance of </w:t>
      </w:r>
      <w:r w:rsidRPr="00BC3BCC">
        <w:rPr>
          <w:b/>
          <w:bCs/>
        </w:rPr>
        <w:t>No CVP, No Stampede</w:t>
      </w:r>
      <w:r w:rsidRPr="00874A11">
        <w:rPr>
          <w:b/>
          <w:bCs/>
        </w:rPr>
        <w:t xml:space="preserve"> Portfolio in Meeting Reliability and State Policy </w:t>
      </w:r>
      <w:r w:rsidRPr="00AA51A9">
        <w:rPr>
          <w:b/>
          <w:bCs/>
        </w:rPr>
        <w:t>Criteria</w:t>
      </w:r>
      <w:r>
        <w:rPr>
          <w:b/>
          <w:bCs/>
        </w:rPr>
        <w:t>: CY 2025, 2030, 2035 and 2040</w:t>
      </w:r>
    </w:p>
    <w:tbl>
      <w:tblPr>
        <w:tblW w:w="7589" w:type="dxa"/>
        <w:jc w:val="center"/>
        <w:tblLook w:val="04A0" w:firstRow="1" w:lastRow="0" w:firstColumn="1" w:lastColumn="0" w:noHBand="0" w:noVBand="1"/>
      </w:tblPr>
      <w:tblGrid>
        <w:gridCol w:w="2209"/>
        <w:gridCol w:w="1345"/>
        <w:gridCol w:w="1345"/>
        <w:gridCol w:w="1345"/>
        <w:gridCol w:w="1345"/>
      </w:tblGrid>
      <w:tr w:rsidR="008B7898" w:rsidRPr="00874A11" w14:paraId="2845B3D3" w14:textId="77777777" w:rsidTr="00C855C7">
        <w:trPr>
          <w:trHeight w:val="273"/>
          <w:jc w:val="center"/>
        </w:trPr>
        <w:tc>
          <w:tcPr>
            <w:tcW w:w="22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7161B1" w14:textId="77777777" w:rsidR="008B7898" w:rsidRPr="00874A11" w:rsidRDefault="008B7898" w:rsidP="00C855C7">
            <w:pPr>
              <w:jc w:val="center"/>
              <w:rPr>
                <w:rFonts w:ascii="Calibri" w:hAnsi="Calibri" w:cs="Calibri"/>
                <w:b/>
                <w:bCs/>
                <w:color w:val="000000"/>
                <w:sz w:val="22"/>
                <w:szCs w:val="22"/>
              </w:rPr>
            </w:pPr>
            <w:r w:rsidRPr="00874A11">
              <w:rPr>
                <w:rFonts w:ascii="Calibri" w:hAnsi="Calibri" w:cs="Calibri"/>
                <w:b/>
                <w:bCs/>
                <w:color w:val="000000"/>
                <w:sz w:val="22"/>
                <w:szCs w:val="22"/>
              </w:rPr>
              <w:t>Criteria</w:t>
            </w:r>
          </w:p>
        </w:tc>
        <w:tc>
          <w:tcPr>
            <w:tcW w:w="1345" w:type="dxa"/>
            <w:tcBorders>
              <w:top w:val="single" w:sz="4" w:space="0" w:color="auto"/>
              <w:left w:val="nil"/>
              <w:bottom w:val="single" w:sz="4" w:space="0" w:color="auto"/>
              <w:right w:val="single" w:sz="4" w:space="0" w:color="auto"/>
            </w:tcBorders>
            <w:shd w:val="clear" w:color="auto" w:fill="auto"/>
            <w:noWrap/>
            <w:vAlign w:val="center"/>
            <w:hideMark/>
          </w:tcPr>
          <w:p w14:paraId="6DBD9D83" w14:textId="77777777" w:rsidR="008B7898" w:rsidRPr="00874A11" w:rsidRDefault="008B7898" w:rsidP="00C855C7">
            <w:pPr>
              <w:jc w:val="center"/>
              <w:rPr>
                <w:rFonts w:ascii="Calibri" w:hAnsi="Calibri" w:cs="Calibri"/>
                <w:b/>
                <w:bCs/>
                <w:color w:val="000000"/>
                <w:sz w:val="22"/>
                <w:szCs w:val="22"/>
              </w:rPr>
            </w:pPr>
            <w:r w:rsidRPr="00874A11">
              <w:rPr>
                <w:rFonts w:ascii="Calibri" w:hAnsi="Calibri" w:cs="Calibri"/>
                <w:b/>
                <w:bCs/>
                <w:color w:val="000000"/>
                <w:sz w:val="22"/>
                <w:szCs w:val="22"/>
              </w:rPr>
              <w:t xml:space="preserve">2025 </w:t>
            </w:r>
          </w:p>
        </w:tc>
        <w:tc>
          <w:tcPr>
            <w:tcW w:w="1345" w:type="dxa"/>
            <w:tcBorders>
              <w:top w:val="single" w:sz="4" w:space="0" w:color="auto"/>
              <w:left w:val="nil"/>
              <w:bottom w:val="single" w:sz="4" w:space="0" w:color="auto"/>
              <w:right w:val="single" w:sz="4" w:space="0" w:color="auto"/>
            </w:tcBorders>
            <w:shd w:val="clear" w:color="auto" w:fill="auto"/>
            <w:noWrap/>
            <w:vAlign w:val="center"/>
            <w:hideMark/>
          </w:tcPr>
          <w:p w14:paraId="1E509F1B" w14:textId="77777777" w:rsidR="008B7898" w:rsidRPr="00874A11" w:rsidRDefault="008B7898" w:rsidP="00C855C7">
            <w:pPr>
              <w:jc w:val="center"/>
              <w:rPr>
                <w:rFonts w:ascii="Calibri" w:hAnsi="Calibri" w:cs="Calibri"/>
                <w:b/>
                <w:bCs/>
                <w:color w:val="000000"/>
                <w:sz w:val="22"/>
                <w:szCs w:val="22"/>
              </w:rPr>
            </w:pPr>
            <w:r w:rsidRPr="00874A11">
              <w:rPr>
                <w:rFonts w:ascii="Calibri" w:hAnsi="Calibri" w:cs="Calibri"/>
                <w:b/>
                <w:bCs/>
                <w:color w:val="000000"/>
                <w:sz w:val="22"/>
                <w:szCs w:val="22"/>
              </w:rPr>
              <w:t xml:space="preserve">2030 </w:t>
            </w:r>
          </w:p>
        </w:tc>
        <w:tc>
          <w:tcPr>
            <w:tcW w:w="1345" w:type="dxa"/>
            <w:tcBorders>
              <w:top w:val="single" w:sz="4" w:space="0" w:color="auto"/>
              <w:left w:val="nil"/>
              <w:bottom w:val="single" w:sz="4" w:space="0" w:color="auto"/>
              <w:right w:val="single" w:sz="4" w:space="0" w:color="auto"/>
            </w:tcBorders>
            <w:shd w:val="clear" w:color="auto" w:fill="auto"/>
            <w:noWrap/>
            <w:vAlign w:val="center"/>
            <w:hideMark/>
          </w:tcPr>
          <w:p w14:paraId="15F493AC" w14:textId="77777777" w:rsidR="008B7898" w:rsidRPr="00874A11" w:rsidRDefault="008B7898" w:rsidP="00C855C7">
            <w:pPr>
              <w:jc w:val="center"/>
              <w:rPr>
                <w:rFonts w:ascii="Calibri" w:hAnsi="Calibri" w:cs="Calibri"/>
                <w:b/>
                <w:bCs/>
                <w:color w:val="000000"/>
                <w:sz w:val="22"/>
                <w:szCs w:val="22"/>
              </w:rPr>
            </w:pPr>
            <w:r w:rsidRPr="00874A11">
              <w:rPr>
                <w:rFonts w:ascii="Calibri" w:hAnsi="Calibri" w:cs="Calibri"/>
                <w:b/>
                <w:bCs/>
                <w:color w:val="000000"/>
                <w:sz w:val="22"/>
                <w:szCs w:val="22"/>
              </w:rPr>
              <w:t xml:space="preserve">2035 </w:t>
            </w:r>
          </w:p>
        </w:tc>
        <w:tc>
          <w:tcPr>
            <w:tcW w:w="1345" w:type="dxa"/>
            <w:tcBorders>
              <w:top w:val="single" w:sz="4" w:space="0" w:color="auto"/>
              <w:left w:val="nil"/>
              <w:bottom w:val="single" w:sz="4" w:space="0" w:color="auto"/>
              <w:right w:val="single" w:sz="4" w:space="0" w:color="auto"/>
            </w:tcBorders>
            <w:shd w:val="clear" w:color="auto" w:fill="auto"/>
            <w:noWrap/>
            <w:vAlign w:val="center"/>
            <w:hideMark/>
          </w:tcPr>
          <w:p w14:paraId="62D1DE30" w14:textId="77777777" w:rsidR="008B7898" w:rsidRPr="00874A11" w:rsidRDefault="008B7898" w:rsidP="00C855C7">
            <w:pPr>
              <w:jc w:val="center"/>
              <w:rPr>
                <w:rFonts w:ascii="Calibri" w:hAnsi="Calibri" w:cs="Calibri"/>
                <w:b/>
                <w:bCs/>
                <w:color w:val="000000"/>
                <w:sz w:val="22"/>
                <w:szCs w:val="22"/>
              </w:rPr>
            </w:pPr>
            <w:r w:rsidRPr="00874A11">
              <w:rPr>
                <w:rFonts w:ascii="Calibri" w:hAnsi="Calibri" w:cs="Calibri"/>
                <w:b/>
                <w:bCs/>
                <w:color w:val="000000"/>
                <w:sz w:val="22"/>
                <w:szCs w:val="22"/>
              </w:rPr>
              <w:t xml:space="preserve">2040 </w:t>
            </w:r>
          </w:p>
        </w:tc>
      </w:tr>
      <w:tr w:rsidR="008B7898" w:rsidRPr="00874A11" w14:paraId="41526D4D" w14:textId="77777777" w:rsidTr="00C855C7">
        <w:trPr>
          <w:trHeight w:val="273"/>
          <w:jc w:val="center"/>
        </w:trPr>
        <w:tc>
          <w:tcPr>
            <w:tcW w:w="2209" w:type="dxa"/>
            <w:tcBorders>
              <w:top w:val="nil"/>
              <w:left w:val="single" w:sz="4" w:space="0" w:color="auto"/>
              <w:bottom w:val="single" w:sz="4" w:space="0" w:color="auto"/>
              <w:right w:val="single" w:sz="4" w:space="0" w:color="auto"/>
            </w:tcBorders>
            <w:shd w:val="clear" w:color="auto" w:fill="auto"/>
            <w:noWrap/>
            <w:vAlign w:val="center"/>
            <w:hideMark/>
          </w:tcPr>
          <w:p w14:paraId="15107E12" w14:textId="77777777" w:rsidR="008B7898" w:rsidRPr="00874A11" w:rsidRDefault="008B7898" w:rsidP="008B7898">
            <w:pPr>
              <w:rPr>
                <w:rFonts w:ascii="Calibri" w:hAnsi="Calibri" w:cs="Calibri"/>
                <w:b/>
                <w:bCs/>
                <w:color w:val="000000"/>
                <w:sz w:val="22"/>
                <w:szCs w:val="22"/>
              </w:rPr>
            </w:pPr>
            <w:r w:rsidRPr="00874A11">
              <w:rPr>
                <w:rFonts w:ascii="Calibri" w:hAnsi="Calibri" w:cs="Calibri"/>
                <w:b/>
                <w:bCs/>
                <w:color w:val="000000"/>
                <w:sz w:val="22"/>
                <w:szCs w:val="22"/>
              </w:rPr>
              <w:t>Contracted PRM (%)</w:t>
            </w:r>
          </w:p>
        </w:tc>
        <w:tc>
          <w:tcPr>
            <w:tcW w:w="1345" w:type="dxa"/>
            <w:tcBorders>
              <w:top w:val="nil"/>
              <w:left w:val="nil"/>
              <w:bottom w:val="single" w:sz="4" w:space="0" w:color="auto"/>
              <w:right w:val="single" w:sz="4" w:space="0" w:color="auto"/>
            </w:tcBorders>
            <w:shd w:val="clear" w:color="auto" w:fill="auto"/>
            <w:noWrap/>
            <w:vAlign w:val="center"/>
            <w:hideMark/>
          </w:tcPr>
          <w:p w14:paraId="34C138E7" w14:textId="60FCC65E" w:rsidR="008B7898" w:rsidRPr="00874A11" w:rsidRDefault="008B7898" w:rsidP="008B7898">
            <w:pPr>
              <w:jc w:val="right"/>
              <w:rPr>
                <w:rFonts w:ascii="Calibri" w:hAnsi="Calibri" w:cs="Calibri"/>
                <w:color w:val="000000"/>
                <w:sz w:val="22"/>
                <w:szCs w:val="22"/>
              </w:rPr>
            </w:pPr>
            <w:r>
              <w:rPr>
                <w:rFonts w:ascii="Calibri" w:hAnsi="Calibri" w:cs="Calibri"/>
                <w:color w:val="000000"/>
                <w:sz w:val="22"/>
                <w:szCs w:val="22"/>
              </w:rPr>
              <w:t>81</w:t>
            </w:r>
            <w:r w:rsidRPr="00874A11">
              <w:rPr>
                <w:rFonts w:ascii="Calibri" w:hAnsi="Calibri" w:cs="Calibri"/>
                <w:color w:val="000000"/>
                <w:sz w:val="22"/>
                <w:szCs w:val="22"/>
              </w:rPr>
              <w:t>%*</w:t>
            </w:r>
          </w:p>
        </w:tc>
        <w:tc>
          <w:tcPr>
            <w:tcW w:w="1345" w:type="dxa"/>
            <w:tcBorders>
              <w:top w:val="nil"/>
              <w:left w:val="nil"/>
              <w:bottom w:val="single" w:sz="4" w:space="0" w:color="auto"/>
              <w:right w:val="single" w:sz="4" w:space="0" w:color="auto"/>
            </w:tcBorders>
            <w:shd w:val="clear" w:color="auto" w:fill="auto"/>
            <w:noWrap/>
            <w:vAlign w:val="center"/>
            <w:hideMark/>
          </w:tcPr>
          <w:p w14:paraId="73B0D0E1" w14:textId="585E6E26" w:rsidR="008B7898" w:rsidRPr="00874A11" w:rsidRDefault="008B7898" w:rsidP="008B7898">
            <w:pPr>
              <w:jc w:val="right"/>
              <w:rPr>
                <w:rFonts w:ascii="Calibri" w:hAnsi="Calibri" w:cs="Calibri"/>
                <w:color w:val="000000"/>
                <w:sz w:val="22"/>
                <w:szCs w:val="22"/>
              </w:rPr>
            </w:pPr>
            <w:r w:rsidRPr="008B7898">
              <w:rPr>
                <w:rFonts w:ascii="Calibri" w:hAnsi="Calibri" w:cs="Calibri"/>
                <w:color w:val="000000"/>
                <w:sz w:val="22"/>
                <w:szCs w:val="22"/>
              </w:rPr>
              <w:t>118%</w:t>
            </w:r>
          </w:p>
        </w:tc>
        <w:tc>
          <w:tcPr>
            <w:tcW w:w="1345" w:type="dxa"/>
            <w:tcBorders>
              <w:top w:val="nil"/>
              <w:left w:val="nil"/>
              <w:bottom w:val="single" w:sz="4" w:space="0" w:color="auto"/>
              <w:right w:val="single" w:sz="4" w:space="0" w:color="auto"/>
            </w:tcBorders>
            <w:shd w:val="clear" w:color="auto" w:fill="auto"/>
            <w:noWrap/>
            <w:vAlign w:val="center"/>
            <w:hideMark/>
          </w:tcPr>
          <w:p w14:paraId="614A3535" w14:textId="5C239105" w:rsidR="008B7898" w:rsidRPr="00874A11" w:rsidRDefault="008B7898" w:rsidP="008B7898">
            <w:pPr>
              <w:jc w:val="right"/>
              <w:rPr>
                <w:rFonts w:ascii="Calibri" w:hAnsi="Calibri" w:cs="Calibri"/>
                <w:color w:val="000000"/>
                <w:sz w:val="22"/>
                <w:szCs w:val="22"/>
              </w:rPr>
            </w:pPr>
            <w:r w:rsidRPr="008B7898">
              <w:rPr>
                <w:rFonts w:ascii="Calibri" w:hAnsi="Calibri" w:cs="Calibri"/>
                <w:color w:val="000000"/>
                <w:sz w:val="22"/>
                <w:szCs w:val="22"/>
              </w:rPr>
              <w:t>129%</w:t>
            </w:r>
          </w:p>
        </w:tc>
        <w:tc>
          <w:tcPr>
            <w:tcW w:w="1345" w:type="dxa"/>
            <w:tcBorders>
              <w:top w:val="nil"/>
              <w:left w:val="nil"/>
              <w:bottom w:val="single" w:sz="4" w:space="0" w:color="auto"/>
              <w:right w:val="single" w:sz="4" w:space="0" w:color="auto"/>
            </w:tcBorders>
            <w:shd w:val="clear" w:color="auto" w:fill="auto"/>
            <w:noWrap/>
            <w:vAlign w:val="center"/>
            <w:hideMark/>
          </w:tcPr>
          <w:p w14:paraId="76E81AA0" w14:textId="3C9B4EA5" w:rsidR="008B7898" w:rsidRPr="00874A11" w:rsidRDefault="008B7898" w:rsidP="008B7898">
            <w:pPr>
              <w:jc w:val="right"/>
              <w:rPr>
                <w:rFonts w:ascii="Calibri" w:hAnsi="Calibri" w:cs="Calibri"/>
                <w:color w:val="000000"/>
                <w:sz w:val="22"/>
                <w:szCs w:val="22"/>
              </w:rPr>
            </w:pPr>
            <w:r w:rsidRPr="008B7898">
              <w:rPr>
                <w:rFonts w:ascii="Calibri" w:hAnsi="Calibri" w:cs="Calibri"/>
                <w:color w:val="000000"/>
                <w:sz w:val="22"/>
                <w:szCs w:val="22"/>
              </w:rPr>
              <w:t>117%</w:t>
            </w:r>
          </w:p>
        </w:tc>
      </w:tr>
      <w:tr w:rsidR="008B7898" w:rsidRPr="00874A11" w14:paraId="7C959E74" w14:textId="77777777" w:rsidTr="00C855C7">
        <w:trPr>
          <w:trHeight w:val="273"/>
          <w:jc w:val="center"/>
        </w:trPr>
        <w:tc>
          <w:tcPr>
            <w:tcW w:w="2209" w:type="dxa"/>
            <w:tcBorders>
              <w:top w:val="nil"/>
              <w:left w:val="single" w:sz="4" w:space="0" w:color="auto"/>
              <w:bottom w:val="single" w:sz="4" w:space="0" w:color="auto"/>
              <w:right w:val="single" w:sz="4" w:space="0" w:color="auto"/>
            </w:tcBorders>
            <w:shd w:val="clear" w:color="auto" w:fill="auto"/>
            <w:noWrap/>
            <w:vAlign w:val="center"/>
            <w:hideMark/>
          </w:tcPr>
          <w:p w14:paraId="12380282" w14:textId="77777777" w:rsidR="008B7898" w:rsidRPr="00874A11" w:rsidRDefault="008B7898" w:rsidP="008B7898">
            <w:pPr>
              <w:rPr>
                <w:rFonts w:ascii="Calibri" w:hAnsi="Calibri" w:cs="Calibri"/>
                <w:b/>
                <w:bCs/>
                <w:color w:val="000000"/>
                <w:sz w:val="22"/>
                <w:szCs w:val="22"/>
              </w:rPr>
            </w:pPr>
            <w:r w:rsidRPr="00874A11">
              <w:rPr>
                <w:rFonts w:ascii="Calibri" w:hAnsi="Calibri" w:cs="Calibri"/>
                <w:b/>
                <w:bCs/>
                <w:color w:val="000000"/>
                <w:sz w:val="22"/>
                <w:szCs w:val="22"/>
              </w:rPr>
              <w:t>Contracted RPS (%)</w:t>
            </w:r>
          </w:p>
        </w:tc>
        <w:tc>
          <w:tcPr>
            <w:tcW w:w="1345" w:type="dxa"/>
            <w:tcBorders>
              <w:top w:val="nil"/>
              <w:left w:val="nil"/>
              <w:bottom w:val="single" w:sz="4" w:space="0" w:color="auto"/>
              <w:right w:val="single" w:sz="4" w:space="0" w:color="auto"/>
            </w:tcBorders>
            <w:shd w:val="clear" w:color="auto" w:fill="auto"/>
            <w:noWrap/>
            <w:vAlign w:val="center"/>
            <w:hideMark/>
          </w:tcPr>
          <w:p w14:paraId="09C4FF69" w14:textId="02E0DA1B" w:rsidR="008B7898" w:rsidRPr="00874A11" w:rsidRDefault="008B7898" w:rsidP="008B7898">
            <w:pPr>
              <w:jc w:val="right"/>
              <w:rPr>
                <w:rFonts w:ascii="Calibri" w:hAnsi="Calibri" w:cs="Calibri"/>
                <w:color w:val="000000"/>
                <w:sz w:val="22"/>
                <w:szCs w:val="22"/>
              </w:rPr>
            </w:pPr>
            <w:r w:rsidRPr="008B7898">
              <w:rPr>
                <w:rFonts w:ascii="Calibri" w:hAnsi="Calibri" w:cs="Calibri"/>
                <w:color w:val="000000"/>
                <w:sz w:val="22"/>
                <w:szCs w:val="22"/>
              </w:rPr>
              <w:t>53%</w:t>
            </w:r>
          </w:p>
        </w:tc>
        <w:tc>
          <w:tcPr>
            <w:tcW w:w="1345" w:type="dxa"/>
            <w:tcBorders>
              <w:top w:val="nil"/>
              <w:left w:val="nil"/>
              <w:bottom w:val="single" w:sz="4" w:space="0" w:color="auto"/>
              <w:right w:val="single" w:sz="4" w:space="0" w:color="auto"/>
            </w:tcBorders>
            <w:shd w:val="clear" w:color="auto" w:fill="auto"/>
            <w:noWrap/>
            <w:vAlign w:val="center"/>
            <w:hideMark/>
          </w:tcPr>
          <w:p w14:paraId="65870BE0" w14:textId="79DC29D6" w:rsidR="008B7898" w:rsidRPr="00874A11" w:rsidRDefault="008B7898" w:rsidP="008B7898">
            <w:pPr>
              <w:jc w:val="right"/>
              <w:rPr>
                <w:rFonts w:ascii="Calibri" w:hAnsi="Calibri" w:cs="Calibri"/>
                <w:color w:val="000000"/>
                <w:sz w:val="22"/>
                <w:szCs w:val="22"/>
              </w:rPr>
            </w:pPr>
            <w:r w:rsidRPr="008B7898">
              <w:rPr>
                <w:rFonts w:ascii="Calibri" w:hAnsi="Calibri" w:cs="Calibri"/>
                <w:color w:val="000000"/>
                <w:sz w:val="22"/>
                <w:szCs w:val="22"/>
              </w:rPr>
              <w:t>102%</w:t>
            </w:r>
          </w:p>
        </w:tc>
        <w:tc>
          <w:tcPr>
            <w:tcW w:w="1345" w:type="dxa"/>
            <w:tcBorders>
              <w:top w:val="nil"/>
              <w:left w:val="nil"/>
              <w:bottom w:val="single" w:sz="4" w:space="0" w:color="auto"/>
              <w:right w:val="single" w:sz="4" w:space="0" w:color="auto"/>
            </w:tcBorders>
            <w:shd w:val="clear" w:color="auto" w:fill="auto"/>
            <w:noWrap/>
            <w:vAlign w:val="center"/>
            <w:hideMark/>
          </w:tcPr>
          <w:p w14:paraId="08DF7B14" w14:textId="7A45D2F0" w:rsidR="008B7898" w:rsidRPr="00874A11" w:rsidRDefault="008B7898" w:rsidP="008B7898">
            <w:pPr>
              <w:jc w:val="right"/>
              <w:rPr>
                <w:rFonts w:ascii="Calibri" w:hAnsi="Calibri" w:cs="Calibri"/>
                <w:color w:val="000000"/>
                <w:sz w:val="22"/>
                <w:szCs w:val="22"/>
              </w:rPr>
            </w:pPr>
            <w:r w:rsidRPr="008B7898">
              <w:rPr>
                <w:rFonts w:ascii="Calibri" w:hAnsi="Calibri" w:cs="Calibri"/>
                <w:color w:val="000000"/>
                <w:sz w:val="22"/>
                <w:szCs w:val="22"/>
              </w:rPr>
              <w:t>113%</w:t>
            </w:r>
          </w:p>
        </w:tc>
        <w:tc>
          <w:tcPr>
            <w:tcW w:w="1345" w:type="dxa"/>
            <w:tcBorders>
              <w:top w:val="nil"/>
              <w:left w:val="nil"/>
              <w:bottom w:val="single" w:sz="4" w:space="0" w:color="auto"/>
              <w:right w:val="single" w:sz="4" w:space="0" w:color="auto"/>
            </w:tcBorders>
            <w:shd w:val="clear" w:color="auto" w:fill="auto"/>
            <w:noWrap/>
            <w:vAlign w:val="center"/>
            <w:hideMark/>
          </w:tcPr>
          <w:p w14:paraId="0081548F" w14:textId="7843AF7D" w:rsidR="008B7898" w:rsidRPr="00874A11" w:rsidRDefault="008B7898" w:rsidP="008B7898">
            <w:pPr>
              <w:jc w:val="right"/>
              <w:rPr>
                <w:rFonts w:ascii="Calibri" w:hAnsi="Calibri" w:cs="Calibri"/>
                <w:color w:val="000000"/>
                <w:sz w:val="22"/>
                <w:szCs w:val="22"/>
              </w:rPr>
            </w:pPr>
            <w:r w:rsidRPr="008B7898">
              <w:rPr>
                <w:rFonts w:ascii="Calibri" w:hAnsi="Calibri" w:cs="Calibri"/>
                <w:color w:val="000000"/>
                <w:sz w:val="22"/>
                <w:szCs w:val="22"/>
              </w:rPr>
              <w:t>106%</w:t>
            </w:r>
          </w:p>
        </w:tc>
      </w:tr>
      <w:tr w:rsidR="008B7898" w:rsidRPr="00874A11" w14:paraId="07553798" w14:textId="77777777" w:rsidTr="00C855C7">
        <w:trPr>
          <w:trHeight w:val="273"/>
          <w:jc w:val="center"/>
        </w:trPr>
        <w:tc>
          <w:tcPr>
            <w:tcW w:w="2209" w:type="dxa"/>
            <w:tcBorders>
              <w:top w:val="nil"/>
              <w:left w:val="single" w:sz="4" w:space="0" w:color="auto"/>
              <w:bottom w:val="single" w:sz="4" w:space="0" w:color="auto"/>
              <w:right w:val="single" w:sz="4" w:space="0" w:color="auto"/>
            </w:tcBorders>
            <w:shd w:val="clear" w:color="auto" w:fill="auto"/>
            <w:noWrap/>
            <w:vAlign w:val="center"/>
            <w:hideMark/>
          </w:tcPr>
          <w:p w14:paraId="12ECC44D" w14:textId="77777777" w:rsidR="008B7898" w:rsidRPr="00874A11" w:rsidRDefault="008B7898" w:rsidP="008B7898">
            <w:pPr>
              <w:rPr>
                <w:rFonts w:ascii="Calibri" w:hAnsi="Calibri" w:cs="Calibri"/>
                <w:b/>
                <w:bCs/>
                <w:color w:val="000000"/>
                <w:sz w:val="22"/>
                <w:szCs w:val="22"/>
              </w:rPr>
            </w:pPr>
            <w:r w:rsidRPr="00874A11">
              <w:rPr>
                <w:rFonts w:ascii="Calibri" w:hAnsi="Calibri" w:cs="Calibri"/>
                <w:b/>
                <w:bCs/>
                <w:color w:val="000000"/>
                <w:sz w:val="22"/>
                <w:szCs w:val="22"/>
              </w:rPr>
              <w:t>GHG Free (%)</w:t>
            </w:r>
          </w:p>
        </w:tc>
        <w:tc>
          <w:tcPr>
            <w:tcW w:w="1345" w:type="dxa"/>
            <w:tcBorders>
              <w:top w:val="nil"/>
              <w:left w:val="nil"/>
              <w:bottom w:val="single" w:sz="4" w:space="0" w:color="auto"/>
              <w:right w:val="single" w:sz="4" w:space="0" w:color="auto"/>
            </w:tcBorders>
            <w:shd w:val="clear" w:color="auto" w:fill="auto"/>
            <w:noWrap/>
            <w:vAlign w:val="center"/>
            <w:hideMark/>
          </w:tcPr>
          <w:p w14:paraId="20337C3E" w14:textId="56F00497" w:rsidR="008B7898" w:rsidRPr="00874A11" w:rsidRDefault="008B7898" w:rsidP="008B7898">
            <w:pPr>
              <w:jc w:val="right"/>
              <w:rPr>
                <w:rFonts w:ascii="Calibri" w:hAnsi="Calibri" w:cs="Calibri"/>
                <w:color w:val="000000"/>
                <w:sz w:val="22"/>
                <w:szCs w:val="22"/>
              </w:rPr>
            </w:pPr>
            <w:r w:rsidRPr="008B7898">
              <w:rPr>
                <w:rFonts w:ascii="Calibri" w:hAnsi="Calibri" w:cs="Calibri"/>
                <w:color w:val="000000"/>
                <w:sz w:val="22"/>
                <w:szCs w:val="22"/>
              </w:rPr>
              <w:t>55%</w:t>
            </w:r>
          </w:p>
        </w:tc>
        <w:tc>
          <w:tcPr>
            <w:tcW w:w="1345" w:type="dxa"/>
            <w:tcBorders>
              <w:top w:val="nil"/>
              <w:left w:val="nil"/>
              <w:bottom w:val="single" w:sz="4" w:space="0" w:color="auto"/>
              <w:right w:val="single" w:sz="4" w:space="0" w:color="auto"/>
            </w:tcBorders>
            <w:shd w:val="clear" w:color="auto" w:fill="auto"/>
            <w:noWrap/>
            <w:vAlign w:val="center"/>
            <w:hideMark/>
          </w:tcPr>
          <w:p w14:paraId="723207D3" w14:textId="1F1B6D82" w:rsidR="008B7898" w:rsidRPr="00874A11" w:rsidRDefault="008B7898" w:rsidP="008B7898">
            <w:pPr>
              <w:jc w:val="right"/>
              <w:rPr>
                <w:rFonts w:ascii="Calibri" w:hAnsi="Calibri" w:cs="Calibri"/>
                <w:color w:val="000000"/>
                <w:sz w:val="22"/>
                <w:szCs w:val="22"/>
              </w:rPr>
            </w:pPr>
            <w:r w:rsidRPr="008B7898">
              <w:rPr>
                <w:rFonts w:ascii="Calibri" w:hAnsi="Calibri" w:cs="Calibri"/>
                <w:color w:val="000000"/>
                <w:sz w:val="22"/>
                <w:szCs w:val="22"/>
              </w:rPr>
              <w:t>106%</w:t>
            </w:r>
          </w:p>
        </w:tc>
        <w:tc>
          <w:tcPr>
            <w:tcW w:w="1345" w:type="dxa"/>
            <w:tcBorders>
              <w:top w:val="nil"/>
              <w:left w:val="nil"/>
              <w:bottom w:val="single" w:sz="4" w:space="0" w:color="auto"/>
              <w:right w:val="single" w:sz="4" w:space="0" w:color="auto"/>
            </w:tcBorders>
            <w:shd w:val="clear" w:color="auto" w:fill="auto"/>
            <w:noWrap/>
            <w:vAlign w:val="center"/>
            <w:hideMark/>
          </w:tcPr>
          <w:p w14:paraId="0463176D" w14:textId="40570064" w:rsidR="008B7898" w:rsidRPr="00874A11" w:rsidRDefault="008B7898" w:rsidP="008B7898">
            <w:pPr>
              <w:jc w:val="right"/>
              <w:rPr>
                <w:rFonts w:ascii="Calibri" w:hAnsi="Calibri" w:cs="Calibri"/>
                <w:color w:val="000000"/>
                <w:sz w:val="22"/>
                <w:szCs w:val="22"/>
              </w:rPr>
            </w:pPr>
            <w:r w:rsidRPr="008B7898">
              <w:rPr>
                <w:rFonts w:ascii="Calibri" w:hAnsi="Calibri" w:cs="Calibri"/>
                <w:color w:val="000000"/>
                <w:sz w:val="22"/>
                <w:szCs w:val="22"/>
              </w:rPr>
              <w:t>113%</w:t>
            </w:r>
          </w:p>
        </w:tc>
        <w:tc>
          <w:tcPr>
            <w:tcW w:w="1345" w:type="dxa"/>
            <w:tcBorders>
              <w:top w:val="nil"/>
              <w:left w:val="nil"/>
              <w:bottom w:val="single" w:sz="4" w:space="0" w:color="auto"/>
              <w:right w:val="single" w:sz="4" w:space="0" w:color="auto"/>
            </w:tcBorders>
            <w:shd w:val="clear" w:color="auto" w:fill="auto"/>
            <w:noWrap/>
            <w:vAlign w:val="center"/>
            <w:hideMark/>
          </w:tcPr>
          <w:p w14:paraId="6886681E" w14:textId="579EA622" w:rsidR="008B7898" w:rsidRPr="00874A11" w:rsidRDefault="008B7898" w:rsidP="008B7898">
            <w:pPr>
              <w:jc w:val="right"/>
              <w:rPr>
                <w:rFonts w:ascii="Calibri" w:hAnsi="Calibri" w:cs="Calibri"/>
                <w:color w:val="000000"/>
                <w:sz w:val="22"/>
                <w:szCs w:val="22"/>
              </w:rPr>
            </w:pPr>
            <w:r w:rsidRPr="008B7898">
              <w:rPr>
                <w:rFonts w:ascii="Calibri" w:hAnsi="Calibri" w:cs="Calibri"/>
                <w:color w:val="000000"/>
                <w:sz w:val="22"/>
                <w:szCs w:val="22"/>
              </w:rPr>
              <w:t>106%</w:t>
            </w:r>
          </w:p>
        </w:tc>
      </w:tr>
      <w:tr w:rsidR="008B7898" w:rsidRPr="00874A11" w14:paraId="421D1549" w14:textId="77777777" w:rsidTr="00C855C7">
        <w:trPr>
          <w:trHeight w:val="273"/>
          <w:jc w:val="center"/>
        </w:trPr>
        <w:tc>
          <w:tcPr>
            <w:tcW w:w="6244" w:type="dxa"/>
            <w:gridSpan w:val="4"/>
            <w:tcBorders>
              <w:top w:val="nil"/>
              <w:left w:val="nil"/>
              <w:bottom w:val="nil"/>
              <w:right w:val="nil"/>
            </w:tcBorders>
            <w:shd w:val="clear" w:color="auto" w:fill="auto"/>
            <w:noWrap/>
            <w:vAlign w:val="bottom"/>
            <w:hideMark/>
          </w:tcPr>
          <w:p w14:paraId="6B427CE3" w14:textId="77777777" w:rsidR="008B7898" w:rsidRPr="00577A60" w:rsidRDefault="008B7898" w:rsidP="00C855C7">
            <w:pPr>
              <w:rPr>
                <w:rFonts w:ascii="Calibri" w:hAnsi="Calibri" w:cs="Calibri"/>
                <w:color w:val="000000"/>
                <w:sz w:val="20"/>
                <w:szCs w:val="20"/>
              </w:rPr>
            </w:pPr>
            <w:r w:rsidRPr="00577A60">
              <w:rPr>
                <w:rFonts w:ascii="Calibri" w:hAnsi="Calibri" w:cs="Calibri"/>
                <w:color w:val="000000"/>
                <w:sz w:val="20"/>
                <w:szCs w:val="20"/>
              </w:rPr>
              <w:t>* Requires additional short-term RA capacity purchases to meet 115%</w:t>
            </w:r>
            <w:r>
              <w:rPr>
                <w:rFonts w:ascii="Calibri" w:hAnsi="Calibri" w:cs="Calibri"/>
                <w:color w:val="000000"/>
                <w:sz w:val="20"/>
                <w:szCs w:val="20"/>
              </w:rPr>
              <w:t xml:space="preserve"> </w:t>
            </w:r>
            <w:r w:rsidRPr="00577A60">
              <w:rPr>
                <w:rFonts w:ascii="Calibri" w:hAnsi="Calibri" w:cs="Calibri"/>
                <w:color w:val="000000"/>
                <w:sz w:val="20"/>
                <w:szCs w:val="20"/>
              </w:rPr>
              <w:t xml:space="preserve">PRM. The RPS target increases from 45% in 2025 to 60% </w:t>
            </w:r>
            <w:r>
              <w:rPr>
                <w:rFonts w:ascii="Calibri" w:hAnsi="Calibri" w:cs="Calibri"/>
                <w:color w:val="000000"/>
                <w:sz w:val="20"/>
                <w:szCs w:val="20"/>
              </w:rPr>
              <w:t>in</w:t>
            </w:r>
            <w:r w:rsidRPr="00577A60">
              <w:rPr>
                <w:rFonts w:ascii="Calibri" w:hAnsi="Calibri" w:cs="Calibri"/>
                <w:color w:val="000000"/>
                <w:sz w:val="20"/>
                <w:szCs w:val="20"/>
              </w:rPr>
              <w:t xml:space="preserve"> 2030. The GHG Free target is 90% in 2035 and 95% in 2040.</w:t>
            </w:r>
          </w:p>
        </w:tc>
        <w:tc>
          <w:tcPr>
            <w:tcW w:w="1345" w:type="dxa"/>
            <w:tcBorders>
              <w:top w:val="nil"/>
              <w:left w:val="nil"/>
              <w:bottom w:val="nil"/>
              <w:right w:val="nil"/>
            </w:tcBorders>
            <w:shd w:val="clear" w:color="auto" w:fill="auto"/>
            <w:noWrap/>
            <w:vAlign w:val="bottom"/>
            <w:hideMark/>
          </w:tcPr>
          <w:p w14:paraId="70BDF2EB" w14:textId="77777777" w:rsidR="008B7898" w:rsidRPr="00577A60" w:rsidRDefault="008B7898" w:rsidP="00C855C7">
            <w:pPr>
              <w:rPr>
                <w:rFonts w:ascii="Calibri" w:hAnsi="Calibri" w:cs="Calibri"/>
                <w:color w:val="000000"/>
                <w:sz w:val="20"/>
                <w:szCs w:val="20"/>
              </w:rPr>
            </w:pPr>
          </w:p>
        </w:tc>
      </w:tr>
    </w:tbl>
    <w:p w14:paraId="18DF9532" w14:textId="77777777" w:rsidR="00836120" w:rsidRPr="008B7898" w:rsidRDefault="00836120" w:rsidP="00A21E6F">
      <w:pPr>
        <w:spacing w:before="120"/>
        <w:rPr>
          <w:b/>
          <w:bCs/>
          <w:color w:val="000000" w:themeColor="text1"/>
        </w:rPr>
      </w:pPr>
    </w:p>
    <w:p w14:paraId="33CD1547" w14:textId="77777777" w:rsidR="00BC3BCC" w:rsidRDefault="00BC3BCC" w:rsidP="00BC3BCC">
      <w:pPr>
        <w:jc w:val="center"/>
        <w:rPr>
          <w:b/>
          <w:bCs/>
        </w:rPr>
      </w:pPr>
      <w:r w:rsidRPr="00874A11">
        <w:rPr>
          <w:b/>
          <w:bCs/>
        </w:rPr>
        <w:t xml:space="preserve">Figure </w:t>
      </w:r>
      <w:r>
        <w:rPr>
          <w:b/>
          <w:bCs/>
        </w:rPr>
        <w:t>B-1</w:t>
      </w:r>
      <w:r w:rsidRPr="00874A11">
        <w:rPr>
          <w:b/>
          <w:bCs/>
        </w:rPr>
        <w:t xml:space="preserve">: </w:t>
      </w:r>
      <w:r w:rsidRPr="00BC3BCC">
        <w:rPr>
          <w:b/>
          <w:bCs/>
        </w:rPr>
        <w:t>No CVP, No Stampede</w:t>
      </w:r>
      <w:r w:rsidRPr="00874A11">
        <w:rPr>
          <w:b/>
          <w:bCs/>
        </w:rPr>
        <w:t xml:space="preserve"> Portfolio Perfor</w:t>
      </w:r>
      <w:r>
        <w:rPr>
          <w:b/>
          <w:bCs/>
        </w:rPr>
        <w:t>mance</w:t>
      </w:r>
      <w:r w:rsidRPr="00874A11">
        <w:rPr>
          <w:b/>
          <w:bCs/>
        </w:rPr>
        <w:t xml:space="preserve"> Under Uncertainty</w:t>
      </w:r>
    </w:p>
    <w:p w14:paraId="1516542B" w14:textId="77777777" w:rsidR="00BC3BCC" w:rsidRDefault="00BC3BCC" w:rsidP="00BC3BCC">
      <w:pPr>
        <w:jc w:val="center"/>
        <w:rPr>
          <w:b/>
          <w:bCs/>
        </w:rPr>
      </w:pPr>
      <w:r>
        <w:rPr>
          <w:noProof/>
        </w:rPr>
        <w:drawing>
          <wp:inline distT="0" distB="0" distL="0" distR="0" wp14:anchorId="185F9CFA" wp14:editId="7AA84E53">
            <wp:extent cx="5452533" cy="4550185"/>
            <wp:effectExtent l="0" t="0" r="0" b="0"/>
            <wp:docPr id="457479987" name="Picture 457479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479987" name=""/>
                    <pic:cNvPicPr/>
                  </pic:nvPicPr>
                  <pic:blipFill>
                    <a:blip r:embed="rId53"/>
                    <a:stretch>
                      <a:fillRect/>
                    </a:stretch>
                  </pic:blipFill>
                  <pic:spPr>
                    <a:xfrm>
                      <a:off x="0" y="0"/>
                      <a:ext cx="5454164" cy="4551546"/>
                    </a:xfrm>
                    <a:prstGeom prst="rect">
                      <a:avLst/>
                    </a:prstGeom>
                  </pic:spPr>
                </pic:pic>
              </a:graphicData>
            </a:graphic>
          </wp:inline>
        </w:drawing>
      </w:r>
    </w:p>
    <w:p w14:paraId="6EE99C04" w14:textId="77777777" w:rsidR="00BC3BCC" w:rsidRDefault="00BC3BCC" w:rsidP="00BC3BCC">
      <w:pPr>
        <w:jc w:val="center"/>
        <w:rPr>
          <w:b/>
          <w:bCs/>
        </w:rPr>
      </w:pPr>
    </w:p>
    <w:p w14:paraId="626D31EB" w14:textId="77777777" w:rsidR="008B7898" w:rsidRDefault="008B7898" w:rsidP="00BC3BCC">
      <w:pPr>
        <w:jc w:val="center"/>
        <w:rPr>
          <w:b/>
          <w:bCs/>
        </w:rPr>
      </w:pPr>
    </w:p>
    <w:p w14:paraId="1220F285" w14:textId="0D87047F" w:rsidR="008B7898" w:rsidRDefault="008B7898" w:rsidP="00B52E15">
      <w:pPr>
        <w:keepNext/>
        <w:spacing w:after="120"/>
        <w:jc w:val="center"/>
        <w:rPr>
          <w:b/>
          <w:bCs/>
        </w:rPr>
      </w:pPr>
      <w:r w:rsidRPr="00874A11">
        <w:rPr>
          <w:b/>
          <w:bCs/>
        </w:rPr>
        <w:lastRenderedPageBreak/>
        <w:t xml:space="preserve">Table </w:t>
      </w:r>
      <w:r>
        <w:rPr>
          <w:b/>
          <w:bCs/>
        </w:rPr>
        <w:t>B-2</w:t>
      </w:r>
      <w:r w:rsidRPr="00874A11">
        <w:rPr>
          <w:b/>
          <w:bCs/>
        </w:rPr>
        <w:t xml:space="preserve">: Performance of </w:t>
      </w:r>
      <w:r w:rsidRPr="008B7898">
        <w:rPr>
          <w:b/>
          <w:bCs/>
        </w:rPr>
        <w:t>No Storage, High Geothermal</w:t>
      </w:r>
      <w:r>
        <w:rPr>
          <w:b/>
          <w:bCs/>
        </w:rPr>
        <w:t xml:space="preserve"> </w:t>
      </w:r>
      <w:r w:rsidRPr="00874A11">
        <w:rPr>
          <w:b/>
          <w:bCs/>
        </w:rPr>
        <w:t xml:space="preserve">Portfolio in Meeting Reliability and State Policy </w:t>
      </w:r>
      <w:r w:rsidRPr="00AA51A9">
        <w:rPr>
          <w:b/>
          <w:bCs/>
        </w:rPr>
        <w:t>Criteria</w:t>
      </w:r>
      <w:r>
        <w:rPr>
          <w:b/>
          <w:bCs/>
        </w:rPr>
        <w:t>: CY 2025, 2030, 2035 and 2040</w:t>
      </w:r>
    </w:p>
    <w:tbl>
      <w:tblPr>
        <w:tblW w:w="7589" w:type="dxa"/>
        <w:jc w:val="center"/>
        <w:tblLook w:val="04A0" w:firstRow="1" w:lastRow="0" w:firstColumn="1" w:lastColumn="0" w:noHBand="0" w:noVBand="1"/>
      </w:tblPr>
      <w:tblGrid>
        <w:gridCol w:w="2209"/>
        <w:gridCol w:w="1345"/>
        <w:gridCol w:w="1345"/>
        <w:gridCol w:w="1345"/>
        <w:gridCol w:w="1345"/>
      </w:tblGrid>
      <w:tr w:rsidR="008B7898" w:rsidRPr="00874A11" w14:paraId="6A9A0560" w14:textId="77777777" w:rsidTr="00C855C7">
        <w:trPr>
          <w:trHeight w:val="273"/>
          <w:jc w:val="center"/>
        </w:trPr>
        <w:tc>
          <w:tcPr>
            <w:tcW w:w="22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048C3F" w14:textId="77777777" w:rsidR="008B7898" w:rsidRPr="00874A11" w:rsidRDefault="008B7898" w:rsidP="00C855C7">
            <w:pPr>
              <w:jc w:val="center"/>
              <w:rPr>
                <w:rFonts w:ascii="Calibri" w:hAnsi="Calibri" w:cs="Calibri"/>
                <w:b/>
                <w:bCs/>
                <w:color w:val="000000"/>
                <w:sz w:val="22"/>
                <w:szCs w:val="22"/>
              </w:rPr>
            </w:pPr>
            <w:r w:rsidRPr="00874A11">
              <w:rPr>
                <w:rFonts w:ascii="Calibri" w:hAnsi="Calibri" w:cs="Calibri"/>
                <w:b/>
                <w:bCs/>
                <w:color w:val="000000"/>
                <w:sz w:val="22"/>
                <w:szCs w:val="22"/>
              </w:rPr>
              <w:t>Criteria</w:t>
            </w:r>
          </w:p>
        </w:tc>
        <w:tc>
          <w:tcPr>
            <w:tcW w:w="1345" w:type="dxa"/>
            <w:tcBorders>
              <w:top w:val="single" w:sz="4" w:space="0" w:color="auto"/>
              <w:left w:val="nil"/>
              <w:bottom w:val="single" w:sz="4" w:space="0" w:color="auto"/>
              <w:right w:val="single" w:sz="4" w:space="0" w:color="auto"/>
            </w:tcBorders>
            <w:shd w:val="clear" w:color="auto" w:fill="auto"/>
            <w:noWrap/>
            <w:vAlign w:val="center"/>
            <w:hideMark/>
          </w:tcPr>
          <w:p w14:paraId="6A84FBA4" w14:textId="77777777" w:rsidR="008B7898" w:rsidRPr="00874A11" w:rsidRDefault="008B7898" w:rsidP="00C855C7">
            <w:pPr>
              <w:jc w:val="center"/>
              <w:rPr>
                <w:rFonts w:ascii="Calibri" w:hAnsi="Calibri" w:cs="Calibri"/>
                <w:b/>
                <w:bCs/>
                <w:color w:val="000000"/>
                <w:sz w:val="22"/>
                <w:szCs w:val="22"/>
              </w:rPr>
            </w:pPr>
            <w:r w:rsidRPr="00874A11">
              <w:rPr>
                <w:rFonts w:ascii="Calibri" w:hAnsi="Calibri" w:cs="Calibri"/>
                <w:b/>
                <w:bCs/>
                <w:color w:val="000000"/>
                <w:sz w:val="22"/>
                <w:szCs w:val="22"/>
              </w:rPr>
              <w:t xml:space="preserve">2025 </w:t>
            </w:r>
          </w:p>
        </w:tc>
        <w:tc>
          <w:tcPr>
            <w:tcW w:w="1345" w:type="dxa"/>
            <w:tcBorders>
              <w:top w:val="single" w:sz="4" w:space="0" w:color="auto"/>
              <w:left w:val="nil"/>
              <w:bottom w:val="single" w:sz="4" w:space="0" w:color="auto"/>
              <w:right w:val="single" w:sz="4" w:space="0" w:color="auto"/>
            </w:tcBorders>
            <w:shd w:val="clear" w:color="auto" w:fill="auto"/>
            <w:noWrap/>
            <w:vAlign w:val="center"/>
            <w:hideMark/>
          </w:tcPr>
          <w:p w14:paraId="0AB6A99C" w14:textId="77777777" w:rsidR="008B7898" w:rsidRPr="00874A11" w:rsidRDefault="008B7898" w:rsidP="00C855C7">
            <w:pPr>
              <w:jc w:val="center"/>
              <w:rPr>
                <w:rFonts w:ascii="Calibri" w:hAnsi="Calibri" w:cs="Calibri"/>
                <w:b/>
                <w:bCs/>
                <w:color w:val="000000"/>
                <w:sz w:val="22"/>
                <w:szCs w:val="22"/>
              </w:rPr>
            </w:pPr>
            <w:r w:rsidRPr="00874A11">
              <w:rPr>
                <w:rFonts w:ascii="Calibri" w:hAnsi="Calibri" w:cs="Calibri"/>
                <w:b/>
                <w:bCs/>
                <w:color w:val="000000"/>
                <w:sz w:val="22"/>
                <w:szCs w:val="22"/>
              </w:rPr>
              <w:t xml:space="preserve">2030 </w:t>
            </w:r>
          </w:p>
        </w:tc>
        <w:tc>
          <w:tcPr>
            <w:tcW w:w="1345" w:type="dxa"/>
            <w:tcBorders>
              <w:top w:val="single" w:sz="4" w:space="0" w:color="auto"/>
              <w:left w:val="nil"/>
              <w:bottom w:val="single" w:sz="4" w:space="0" w:color="auto"/>
              <w:right w:val="single" w:sz="4" w:space="0" w:color="auto"/>
            </w:tcBorders>
            <w:shd w:val="clear" w:color="auto" w:fill="auto"/>
            <w:noWrap/>
            <w:vAlign w:val="center"/>
            <w:hideMark/>
          </w:tcPr>
          <w:p w14:paraId="1C956FC9" w14:textId="77777777" w:rsidR="008B7898" w:rsidRPr="00874A11" w:rsidRDefault="008B7898" w:rsidP="00C855C7">
            <w:pPr>
              <w:jc w:val="center"/>
              <w:rPr>
                <w:rFonts w:ascii="Calibri" w:hAnsi="Calibri" w:cs="Calibri"/>
                <w:b/>
                <w:bCs/>
                <w:color w:val="000000"/>
                <w:sz w:val="22"/>
                <w:szCs w:val="22"/>
              </w:rPr>
            </w:pPr>
            <w:r w:rsidRPr="00874A11">
              <w:rPr>
                <w:rFonts w:ascii="Calibri" w:hAnsi="Calibri" w:cs="Calibri"/>
                <w:b/>
                <w:bCs/>
                <w:color w:val="000000"/>
                <w:sz w:val="22"/>
                <w:szCs w:val="22"/>
              </w:rPr>
              <w:t xml:space="preserve">2035 </w:t>
            </w:r>
          </w:p>
        </w:tc>
        <w:tc>
          <w:tcPr>
            <w:tcW w:w="1345" w:type="dxa"/>
            <w:tcBorders>
              <w:top w:val="single" w:sz="4" w:space="0" w:color="auto"/>
              <w:left w:val="nil"/>
              <w:bottom w:val="single" w:sz="4" w:space="0" w:color="auto"/>
              <w:right w:val="single" w:sz="4" w:space="0" w:color="auto"/>
            </w:tcBorders>
            <w:shd w:val="clear" w:color="auto" w:fill="auto"/>
            <w:noWrap/>
            <w:vAlign w:val="center"/>
            <w:hideMark/>
          </w:tcPr>
          <w:p w14:paraId="2BEE28A5" w14:textId="77777777" w:rsidR="008B7898" w:rsidRPr="00874A11" w:rsidRDefault="008B7898" w:rsidP="00C855C7">
            <w:pPr>
              <w:jc w:val="center"/>
              <w:rPr>
                <w:rFonts w:ascii="Calibri" w:hAnsi="Calibri" w:cs="Calibri"/>
                <w:b/>
                <w:bCs/>
                <w:color w:val="000000"/>
                <w:sz w:val="22"/>
                <w:szCs w:val="22"/>
              </w:rPr>
            </w:pPr>
            <w:r w:rsidRPr="00874A11">
              <w:rPr>
                <w:rFonts w:ascii="Calibri" w:hAnsi="Calibri" w:cs="Calibri"/>
                <w:b/>
                <w:bCs/>
                <w:color w:val="000000"/>
                <w:sz w:val="22"/>
                <w:szCs w:val="22"/>
              </w:rPr>
              <w:t xml:space="preserve">2040 </w:t>
            </w:r>
          </w:p>
        </w:tc>
      </w:tr>
      <w:tr w:rsidR="008B7898" w:rsidRPr="00874A11" w14:paraId="591DD098" w14:textId="77777777" w:rsidTr="00C855C7">
        <w:trPr>
          <w:trHeight w:val="273"/>
          <w:jc w:val="center"/>
        </w:trPr>
        <w:tc>
          <w:tcPr>
            <w:tcW w:w="2209" w:type="dxa"/>
            <w:tcBorders>
              <w:top w:val="nil"/>
              <w:left w:val="single" w:sz="4" w:space="0" w:color="auto"/>
              <w:bottom w:val="single" w:sz="4" w:space="0" w:color="auto"/>
              <w:right w:val="single" w:sz="4" w:space="0" w:color="auto"/>
            </w:tcBorders>
            <w:shd w:val="clear" w:color="auto" w:fill="auto"/>
            <w:noWrap/>
            <w:vAlign w:val="center"/>
            <w:hideMark/>
          </w:tcPr>
          <w:p w14:paraId="31CD1FFF" w14:textId="77777777" w:rsidR="008B7898" w:rsidRPr="00874A11" w:rsidRDefault="008B7898" w:rsidP="008B7898">
            <w:pPr>
              <w:rPr>
                <w:rFonts w:ascii="Calibri" w:hAnsi="Calibri" w:cs="Calibri"/>
                <w:b/>
                <w:bCs/>
                <w:color w:val="000000"/>
                <w:sz w:val="22"/>
                <w:szCs w:val="22"/>
              </w:rPr>
            </w:pPr>
            <w:r w:rsidRPr="00874A11">
              <w:rPr>
                <w:rFonts w:ascii="Calibri" w:hAnsi="Calibri" w:cs="Calibri"/>
                <w:b/>
                <w:bCs/>
                <w:color w:val="000000"/>
                <w:sz w:val="22"/>
                <w:szCs w:val="22"/>
              </w:rPr>
              <w:t>Contracted PRM (%)</w:t>
            </w:r>
          </w:p>
        </w:tc>
        <w:tc>
          <w:tcPr>
            <w:tcW w:w="1345" w:type="dxa"/>
            <w:tcBorders>
              <w:top w:val="nil"/>
              <w:left w:val="nil"/>
              <w:bottom w:val="single" w:sz="4" w:space="0" w:color="auto"/>
              <w:right w:val="single" w:sz="4" w:space="0" w:color="auto"/>
            </w:tcBorders>
            <w:shd w:val="clear" w:color="auto" w:fill="auto"/>
            <w:noWrap/>
            <w:vAlign w:val="center"/>
            <w:hideMark/>
          </w:tcPr>
          <w:p w14:paraId="25515799" w14:textId="64367760" w:rsidR="008B7898" w:rsidRPr="00874A11" w:rsidRDefault="008B7898" w:rsidP="008B7898">
            <w:pPr>
              <w:jc w:val="right"/>
              <w:rPr>
                <w:rFonts w:ascii="Calibri" w:hAnsi="Calibri" w:cs="Calibri"/>
                <w:color w:val="000000"/>
                <w:sz w:val="22"/>
                <w:szCs w:val="22"/>
              </w:rPr>
            </w:pPr>
            <w:r>
              <w:rPr>
                <w:rFonts w:ascii="Calibri" w:hAnsi="Calibri" w:cs="Calibri"/>
                <w:color w:val="000000"/>
                <w:sz w:val="22"/>
                <w:szCs w:val="22"/>
              </w:rPr>
              <w:t>96</w:t>
            </w:r>
            <w:r w:rsidRPr="00874A11">
              <w:rPr>
                <w:rFonts w:ascii="Calibri" w:hAnsi="Calibri" w:cs="Calibri"/>
                <w:color w:val="000000"/>
                <w:sz w:val="22"/>
                <w:szCs w:val="22"/>
              </w:rPr>
              <w:t>%*</w:t>
            </w:r>
          </w:p>
        </w:tc>
        <w:tc>
          <w:tcPr>
            <w:tcW w:w="1345" w:type="dxa"/>
            <w:tcBorders>
              <w:top w:val="nil"/>
              <w:left w:val="nil"/>
              <w:bottom w:val="single" w:sz="4" w:space="0" w:color="auto"/>
              <w:right w:val="single" w:sz="4" w:space="0" w:color="auto"/>
            </w:tcBorders>
            <w:shd w:val="clear" w:color="auto" w:fill="auto"/>
            <w:noWrap/>
            <w:vAlign w:val="center"/>
            <w:hideMark/>
          </w:tcPr>
          <w:p w14:paraId="3C9A59E1" w14:textId="2CEB8F86" w:rsidR="008B7898" w:rsidRPr="00874A11" w:rsidRDefault="008B7898" w:rsidP="008B7898">
            <w:pPr>
              <w:jc w:val="right"/>
              <w:rPr>
                <w:rFonts w:ascii="Calibri" w:hAnsi="Calibri" w:cs="Calibri"/>
                <w:color w:val="000000"/>
                <w:sz w:val="22"/>
                <w:szCs w:val="22"/>
              </w:rPr>
            </w:pPr>
            <w:r w:rsidRPr="008B7898">
              <w:rPr>
                <w:rFonts w:ascii="Calibri" w:hAnsi="Calibri" w:cs="Calibri"/>
                <w:color w:val="000000"/>
                <w:sz w:val="22"/>
                <w:szCs w:val="22"/>
              </w:rPr>
              <w:t>116%</w:t>
            </w:r>
          </w:p>
        </w:tc>
        <w:tc>
          <w:tcPr>
            <w:tcW w:w="1345" w:type="dxa"/>
            <w:tcBorders>
              <w:top w:val="nil"/>
              <w:left w:val="nil"/>
              <w:bottom w:val="single" w:sz="4" w:space="0" w:color="auto"/>
              <w:right w:val="single" w:sz="4" w:space="0" w:color="auto"/>
            </w:tcBorders>
            <w:shd w:val="clear" w:color="auto" w:fill="auto"/>
            <w:noWrap/>
            <w:vAlign w:val="center"/>
            <w:hideMark/>
          </w:tcPr>
          <w:p w14:paraId="0876E9A7" w14:textId="388CB601" w:rsidR="008B7898" w:rsidRPr="00874A11" w:rsidRDefault="008B7898" w:rsidP="008B7898">
            <w:pPr>
              <w:jc w:val="right"/>
              <w:rPr>
                <w:rFonts w:ascii="Calibri" w:hAnsi="Calibri" w:cs="Calibri"/>
                <w:color w:val="000000"/>
                <w:sz w:val="22"/>
                <w:szCs w:val="22"/>
              </w:rPr>
            </w:pPr>
            <w:r w:rsidRPr="008B7898">
              <w:rPr>
                <w:rFonts w:ascii="Calibri" w:hAnsi="Calibri" w:cs="Calibri"/>
                <w:color w:val="000000"/>
                <w:sz w:val="22"/>
                <w:szCs w:val="22"/>
              </w:rPr>
              <w:t>127%</w:t>
            </w:r>
          </w:p>
        </w:tc>
        <w:tc>
          <w:tcPr>
            <w:tcW w:w="1345" w:type="dxa"/>
            <w:tcBorders>
              <w:top w:val="nil"/>
              <w:left w:val="nil"/>
              <w:bottom w:val="single" w:sz="4" w:space="0" w:color="auto"/>
              <w:right w:val="single" w:sz="4" w:space="0" w:color="auto"/>
            </w:tcBorders>
            <w:shd w:val="clear" w:color="auto" w:fill="auto"/>
            <w:noWrap/>
            <w:vAlign w:val="center"/>
            <w:hideMark/>
          </w:tcPr>
          <w:p w14:paraId="54EE6822" w14:textId="70BA7625" w:rsidR="008B7898" w:rsidRPr="00874A11" w:rsidRDefault="008B7898" w:rsidP="008B7898">
            <w:pPr>
              <w:jc w:val="right"/>
              <w:rPr>
                <w:rFonts w:ascii="Calibri" w:hAnsi="Calibri" w:cs="Calibri"/>
                <w:color w:val="000000"/>
                <w:sz w:val="22"/>
                <w:szCs w:val="22"/>
              </w:rPr>
            </w:pPr>
            <w:r w:rsidRPr="008B7898">
              <w:rPr>
                <w:rFonts w:ascii="Calibri" w:hAnsi="Calibri" w:cs="Calibri"/>
                <w:color w:val="000000"/>
                <w:sz w:val="22"/>
                <w:szCs w:val="22"/>
              </w:rPr>
              <w:t>116%</w:t>
            </w:r>
          </w:p>
        </w:tc>
      </w:tr>
      <w:tr w:rsidR="008B7898" w:rsidRPr="00874A11" w14:paraId="7DF9DF1A" w14:textId="77777777" w:rsidTr="00C855C7">
        <w:trPr>
          <w:trHeight w:val="273"/>
          <w:jc w:val="center"/>
        </w:trPr>
        <w:tc>
          <w:tcPr>
            <w:tcW w:w="2209" w:type="dxa"/>
            <w:tcBorders>
              <w:top w:val="nil"/>
              <w:left w:val="single" w:sz="4" w:space="0" w:color="auto"/>
              <w:bottom w:val="single" w:sz="4" w:space="0" w:color="auto"/>
              <w:right w:val="single" w:sz="4" w:space="0" w:color="auto"/>
            </w:tcBorders>
            <w:shd w:val="clear" w:color="auto" w:fill="auto"/>
            <w:noWrap/>
            <w:vAlign w:val="center"/>
            <w:hideMark/>
          </w:tcPr>
          <w:p w14:paraId="67D834CD" w14:textId="77777777" w:rsidR="008B7898" w:rsidRPr="00874A11" w:rsidRDefault="008B7898" w:rsidP="008B7898">
            <w:pPr>
              <w:rPr>
                <w:rFonts w:ascii="Calibri" w:hAnsi="Calibri" w:cs="Calibri"/>
                <w:b/>
                <w:bCs/>
                <w:color w:val="000000"/>
                <w:sz w:val="22"/>
                <w:szCs w:val="22"/>
              </w:rPr>
            </w:pPr>
            <w:r w:rsidRPr="00874A11">
              <w:rPr>
                <w:rFonts w:ascii="Calibri" w:hAnsi="Calibri" w:cs="Calibri"/>
                <w:b/>
                <w:bCs/>
                <w:color w:val="000000"/>
                <w:sz w:val="22"/>
                <w:szCs w:val="22"/>
              </w:rPr>
              <w:t>Contracted RPS (%)</w:t>
            </w:r>
          </w:p>
        </w:tc>
        <w:tc>
          <w:tcPr>
            <w:tcW w:w="1345" w:type="dxa"/>
            <w:tcBorders>
              <w:top w:val="nil"/>
              <w:left w:val="nil"/>
              <w:bottom w:val="single" w:sz="4" w:space="0" w:color="auto"/>
              <w:right w:val="single" w:sz="4" w:space="0" w:color="auto"/>
            </w:tcBorders>
            <w:shd w:val="clear" w:color="auto" w:fill="auto"/>
            <w:noWrap/>
            <w:vAlign w:val="center"/>
            <w:hideMark/>
          </w:tcPr>
          <w:p w14:paraId="6C6E97A7" w14:textId="50673C88" w:rsidR="008B7898" w:rsidRPr="00874A11" w:rsidRDefault="008B7898" w:rsidP="008B7898">
            <w:pPr>
              <w:jc w:val="right"/>
              <w:rPr>
                <w:rFonts w:ascii="Calibri" w:hAnsi="Calibri" w:cs="Calibri"/>
                <w:color w:val="000000"/>
                <w:sz w:val="22"/>
                <w:szCs w:val="22"/>
              </w:rPr>
            </w:pPr>
            <w:r w:rsidRPr="008B7898">
              <w:rPr>
                <w:rFonts w:ascii="Calibri" w:hAnsi="Calibri" w:cs="Calibri"/>
                <w:color w:val="000000"/>
                <w:sz w:val="22"/>
                <w:szCs w:val="22"/>
              </w:rPr>
              <w:t>55%</w:t>
            </w:r>
          </w:p>
        </w:tc>
        <w:tc>
          <w:tcPr>
            <w:tcW w:w="1345" w:type="dxa"/>
            <w:tcBorders>
              <w:top w:val="nil"/>
              <w:left w:val="nil"/>
              <w:bottom w:val="single" w:sz="4" w:space="0" w:color="auto"/>
              <w:right w:val="single" w:sz="4" w:space="0" w:color="auto"/>
            </w:tcBorders>
            <w:shd w:val="clear" w:color="auto" w:fill="auto"/>
            <w:noWrap/>
            <w:vAlign w:val="center"/>
            <w:hideMark/>
          </w:tcPr>
          <w:p w14:paraId="69BCD32F" w14:textId="652B8628" w:rsidR="008B7898" w:rsidRPr="00874A11" w:rsidRDefault="008B7898" w:rsidP="008B7898">
            <w:pPr>
              <w:jc w:val="right"/>
              <w:rPr>
                <w:rFonts w:ascii="Calibri" w:hAnsi="Calibri" w:cs="Calibri"/>
                <w:color w:val="000000"/>
                <w:sz w:val="22"/>
                <w:szCs w:val="22"/>
              </w:rPr>
            </w:pPr>
            <w:r w:rsidRPr="008B7898">
              <w:rPr>
                <w:rFonts w:ascii="Calibri" w:hAnsi="Calibri" w:cs="Calibri"/>
                <w:color w:val="000000"/>
                <w:sz w:val="22"/>
                <w:szCs w:val="22"/>
              </w:rPr>
              <w:t>114%</w:t>
            </w:r>
          </w:p>
        </w:tc>
        <w:tc>
          <w:tcPr>
            <w:tcW w:w="1345" w:type="dxa"/>
            <w:tcBorders>
              <w:top w:val="nil"/>
              <w:left w:val="nil"/>
              <w:bottom w:val="single" w:sz="4" w:space="0" w:color="auto"/>
              <w:right w:val="single" w:sz="4" w:space="0" w:color="auto"/>
            </w:tcBorders>
            <w:shd w:val="clear" w:color="auto" w:fill="auto"/>
            <w:noWrap/>
            <w:vAlign w:val="center"/>
            <w:hideMark/>
          </w:tcPr>
          <w:p w14:paraId="0BFE931C" w14:textId="48209C0E" w:rsidR="008B7898" w:rsidRPr="00874A11" w:rsidRDefault="008B7898" w:rsidP="008B7898">
            <w:pPr>
              <w:jc w:val="right"/>
              <w:rPr>
                <w:rFonts w:ascii="Calibri" w:hAnsi="Calibri" w:cs="Calibri"/>
                <w:color w:val="000000"/>
                <w:sz w:val="22"/>
                <w:szCs w:val="22"/>
              </w:rPr>
            </w:pPr>
            <w:r w:rsidRPr="008B7898">
              <w:rPr>
                <w:rFonts w:ascii="Calibri" w:hAnsi="Calibri" w:cs="Calibri"/>
                <w:color w:val="000000"/>
                <w:sz w:val="22"/>
                <w:szCs w:val="22"/>
              </w:rPr>
              <w:t>122%</w:t>
            </w:r>
          </w:p>
        </w:tc>
        <w:tc>
          <w:tcPr>
            <w:tcW w:w="1345" w:type="dxa"/>
            <w:tcBorders>
              <w:top w:val="nil"/>
              <w:left w:val="nil"/>
              <w:bottom w:val="single" w:sz="4" w:space="0" w:color="auto"/>
              <w:right w:val="single" w:sz="4" w:space="0" w:color="auto"/>
            </w:tcBorders>
            <w:shd w:val="clear" w:color="auto" w:fill="auto"/>
            <w:noWrap/>
            <w:vAlign w:val="center"/>
            <w:hideMark/>
          </w:tcPr>
          <w:p w14:paraId="405E5544" w14:textId="3FA163A9" w:rsidR="008B7898" w:rsidRPr="00874A11" w:rsidRDefault="008B7898" w:rsidP="008B7898">
            <w:pPr>
              <w:jc w:val="right"/>
              <w:rPr>
                <w:rFonts w:ascii="Calibri" w:hAnsi="Calibri" w:cs="Calibri"/>
                <w:color w:val="000000"/>
                <w:sz w:val="22"/>
                <w:szCs w:val="22"/>
              </w:rPr>
            </w:pPr>
            <w:r w:rsidRPr="008B7898">
              <w:rPr>
                <w:rFonts w:ascii="Calibri" w:hAnsi="Calibri" w:cs="Calibri"/>
                <w:color w:val="000000"/>
                <w:sz w:val="22"/>
                <w:szCs w:val="22"/>
              </w:rPr>
              <w:t>116%</w:t>
            </w:r>
          </w:p>
        </w:tc>
      </w:tr>
      <w:tr w:rsidR="008B7898" w:rsidRPr="00874A11" w14:paraId="5FAAAF75" w14:textId="77777777" w:rsidTr="00C855C7">
        <w:trPr>
          <w:trHeight w:val="273"/>
          <w:jc w:val="center"/>
        </w:trPr>
        <w:tc>
          <w:tcPr>
            <w:tcW w:w="2209" w:type="dxa"/>
            <w:tcBorders>
              <w:top w:val="nil"/>
              <w:left w:val="single" w:sz="4" w:space="0" w:color="auto"/>
              <w:bottom w:val="single" w:sz="4" w:space="0" w:color="auto"/>
              <w:right w:val="single" w:sz="4" w:space="0" w:color="auto"/>
            </w:tcBorders>
            <w:shd w:val="clear" w:color="auto" w:fill="auto"/>
            <w:noWrap/>
            <w:vAlign w:val="center"/>
            <w:hideMark/>
          </w:tcPr>
          <w:p w14:paraId="75F0DAA2" w14:textId="77777777" w:rsidR="008B7898" w:rsidRPr="00874A11" w:rsidRDefault="008B7898" w:rsidP="008B7898">
            <w:pPr>
              <w:rPr>
                <w:rFonts w:ascii="Calibri" w:hAnsi="Calibri" w:cs="Calibri"/>
                <w:b/>
                <w:bCs/>
                <w:color w:val="000000"/>
                <w:sz w:val="22"/>
                <w:szCs w:val="22"/>
              </w:rPr>
            </w:pPr>
            <w:r w:rsidRPr="00874A11">
              <w:rPr>
                <w:rFonts w:ascii="Calibri" w:hAnsi="Calibri" w:cs="Calibri"/>
                <w:b/>
                <w:bCs/>
                <w:color w:val="000000"/>
                <w:sz w:val="22"/>
                <w:szCs w:val="22"/>
              </w:rPr>
              <w:t>GHG Free (%)</w:t>
            </w:r>
          </w:p>
        </w:tc>
        <w:tc>
          <w:tcPr>
            <w:tcW w:w="1345" w:type="dxa"/>
            <w:tcBorders>
              <w:top w:val="nil"/>
              <w:left w:val="nil"/>
              <w:bottom w:val="single" w:sz="4" w:space="0" w:color="auto"/>
              <w:right w:val="single" w:sz="4" w:space="0" w:color="auto"/>
            </w:tcBorders>
            <w:shd w:val="clear" w:color="auto" w:fill="auto"/>
            <w:noWrap/>
            <w:vAlign w:val="center"/>
            <w:hideMark/>
          </w:tcPr>
          <w:p w14:paraId="34007229" w14:textId="01926A12" w:rsidR="008B7898" w:rsidRPr="00874A11" w:rsidRDefault="008B7898" w:rsidP="008B7898">
            <w:pPr>
              <w:jc w:val="right"/>
              <w:rPr>
                <w:rFonts w:ascii="Calibri" w:hAnsi="Calibri" w:cs="Calibri"/>
                <w:color w:val="000000"/>
                <w:sz w:val="22"/>
                <w:szCs w:val="22"/>
              </w:rPr>
            </w:pPr>
            <w:r w:rsidRPr="008B7898">
              <w:rPr>
                <w:rFonts w:ascii="Calibri" w:hAnsi="Calibri" w:cs="Calibri"/>
                <w:color w:val="000000"/>
                <w:sz w:val="22"/>
                <w:szCs w:val="22"/>
              </w:rPr>
              <w:t>59%</w:t>
            </w:r>
          </w:p>
        </w:tc>
        <w:tc>
          <w:tcPr>
            <w:tcW w:w="1345" w:type="dxa"/>
            <w:tcBorders>
              <w:top w:val="nil"/>
              <w:left w:val="nil"/>
              <w:bottom w:val="single" w:sz="4" w:space="0" w:color="auto"/>
              <w:right w:val="single" w:sz="4" w:space="0" w:color="auto"/>
            </w:tcBorders>
            <w:shd w:val="clear" w:color="auto" w:fill="auto"/>
            <w:noWrap/>
            <w:vAlign w:val="center"/>
            <w:hideMark/>
          </w:tcPr>
          <w:p w14:paraId="10286BBC" w14:textId="18CC61DD" w:rsidR="008B7898" w:rsidRPr="00874A11" w:rsidRDefault="008B7898" w:rsidP="008B7898">
            <w:pPr>
              <w:jc w:val="right"/>
              <w:rPr>
                <w:rFonts w:ascii="Calibri" w:hAnsi="Calibri" w:cs="Calibri"/>
                <w:color w:val="000000"/>
                <w:sz w:val="22"/>
                <w:szCs w:val="22"/>
              </w:rPr>
            </w:pPr>
            <w:r w:rsidRPr="008B7898">
              <w:rPr>
                <w:rFonts w:ascii="Calibri" w:hAnsi="Calibri" w:cs="Calibri"/>
                <w:color w:val="000000"/>
                <w:sz w:val="22"/>
                <w:szCs w:val="22"/>
              </w:rPr>
              <w:t>121%</w:t>
            </w:r>
          </w:p>
        </w:tc>
        <w:tc>
          <w:tcPr>
            <w:tcW w:w="1345" w:type="dxa"/>
            <w:tcBorders>
              <w:top w:val="nil"/>
              <w:left w:val="nil"/>
              <w:bottom w:val="single" w:sz="4" w:space="0" w:color="auto"/>
              <w:right w:val="single" w:sz="4" w:space="0" w:color="auto"/>
            </w:tcBorders>
            <w:shd w:val="clear" w:color="auto" w:fill="auto"/>
            <w:noWrap/>
            <w:vAlign w:val="center"/>
            <w:hideMark/>
          </w:tcPr>
          <w:p w14:paraId="79B9C0CB" w14:textId="04403120" w:rsidR="008B7898" w:rsidRPr="00874A11" w:rsidRDefault="008B7898" w:rsidP="008B7898">
            <w:pPr>
              <w:jc w:val="right"/>
              <w:rPr>
                <w:rFonts w:ascii="Calibri" w:hAnsi="Calibri" w:cs="Calibri"/>
                <w:color w:val="000000"/>
                <w:sz w:val="22"/>
                <w:szCs w:val="22"/>
              </w:rPr>
            </w:pPr>
            <w:r w:rsidRPr="008B7898">
              <w:rPr>
                <w:rFonts w:ascii="Calibri" w:hAnsi="Calibri" w:cs="Calibri"/>
                <w:color w:val="000000"/>
                <w:sz w:val="22"/>
                <w:szCs w:val="22"/>
              </w:rPr>
              <w:t>124%</w:t>
            </w:r>
          </w:p>
        </w:tc>
        <w:tc>
          <w:tcPr>
            <w:tcW w:w="1345" w:type="dxa"/>
            <w:tcBorders>
              <w:top w:val="nil"/>
              <w:left w:val="nil"/>
              <w:bottom w:val="single" w:sz="4" w:space="0" w:color="auto"/>
              <w:right w:val="single" w:sz="4" w:space="0" w:color="auto"/>
            </w:tcBorders>
            <w:shd w:val="clear" w:color="auto" w:fill="auto"/>
            <w:noWrap/>
            <w:vAlign w:val="center"/>
            <w:hideMark/>
          </w:tcPr>
          <w:p w14:paraId="6626201C" w14:textId="540A0568" w:rsidR="008B7898" w:rsidRPr="00874A11" w:rsidRDefault="008B7898" w:rsidP="008B7898">
            <w:pPr>
              <w:jc w:val="right"/>
              <w:rPr>
                <w:rFonts w:ascii="Calibri" w:hAnsi="Calibri" w:cs="Calibri"/>
                <w:color w:val="000000"/>
                <w:sz w:val="22"/>
                <w:szCs w:val="22"/>
              </w:rPr>
            </w:pPr>
            <w:r w:rsidRPr="008B7898">
              <w:rPr>
                <w:rFonts w:ascii="Calibri" w:hAnsi="Calibri" w:cs="Calibri"/>
                <w:color w:val="000000"/>
                <w:sz w:val="22"/>
                <w:szCs w:val="22"/>
              </w:rPr>
              <w:t>118%</w:t>
            </w:r>
          </w:p>
        </w:tc>
      </w:tr>
      <w:tr w:rsidR="008B7898" w:rsidRPr="00874A11" w14:paraId="0D1458FD" w14:textId="77777777" w:rsidTr="00C855C7">
        <w:trPr>
          <w:trHeight w:val="273"/>
          <w:jc w:val="center"/>
        </w:trPr>
        <w:tc>
          <w:tcPr>
            <w:tcW w:w="6244" w:type="dxa"/>
            <w:gridSpan w:val="4"/>
            <w:tcBorders>
              <w:top w:val="nil"/>
              <w:left w:val="nil"/>
              <w:bottom w:val="nil"/>
              <w:right w:val="nil"/>
            </w:tcBorders>
            <w:shd w:val="clear" w:color="auto" w:fill="auto"/>
            <w:noWrap/>
            <w:vAlign w:val="bottom"/>
            <w:hideMark/>
          </w:tcPr>
          <w:p w14:paraId="3219FAD0" w14:textId="77777777" w:rsidR="008B7898" w:rsidRPr="00577A60" w:rsidRDefault="008B7898" w:rsidP="00C855C7">
            <w:pPr>
              <w:rPr>
                <w:rFonts w:ascii="Calibri" w:hAnsi="Calibri" w:cs="Calibri"/>
                <w:color w:val="000000"/>
                <w:sz w:val="20"/>
                <w:szCs w:val="20"/>
              </w:rPr>
            </w:pPr>
            <w:r w:rsidRPr="00577A60">
              <w:rPr>
                <w:rFonts w:ascii="Calibri" w:hAnsi="Calibri" w:cs="Calibri"/>
                <w:color w:val="000000"/>
                <w:sz w:val="20"/>
                <w:szCs w:val="20"/>
              </w:rPr>
              <w:t>* Requires additional short-term RA capacity purchases to meet 115%</w:t>
            </w:r>
            <w:r>
              <w:rPr>
                <w:rFonts w:ascii="Calibri" w:hAnsi="Calibri" w:cs="Calibri"/>
                <w:color w:val="000000"/>
                <w:sz w:val="20"/>
                <w:szCs w:val="20"/>
              </w:rPr>
              <w:t xml:space="preserve"> </w:t>
            </w:r>
            <w:r w:rsidRPr="00577A60">
              <w:rPr>
                <w:rFonts w:ascii="Calibri" w:hAnsi="Calibri" w:cs="Calibri"/>
                <w:color w:val="000000"/>
                <w:sz w:val="20"/>
                <w:szCs w:val="20"/>
              </w:rPr>
              <w:t xml:space="preserve">PRM. The RPS target increases from 45% in 2025 to 60% </w:t>
            </w:r>
            <w:r>
              <w:rPr>
                <w:rFonts w:ascii="Calibri" w:hAnsi="Calibri" w:cs="Calibri"/>
                <w:color w:val="000000"/>
                <w:sz w:val="20"/>
                <w:szCs w:val="20"/>
              </w:rPr>
              <w:t>in</w:t>
            </w:r>
            <w:r w:rsidRPr="00577A60">
              <w:rPr>
                <w:rFonts w:ascii="Calibri" w:hAnsi="Calibri" w:cs="Calibri"/>
                <w:color w:val="000000"/>
                <w:sz w:val="20"/>
                <w:szCs w:val="20"/>
              </w:rPr>
              <w:t xml:space="preserve"> 2030. The GHG Free target is 90% in 2035 and 95% in 2040.</w:t>
            </w:r>
          </w:p>
        </w:tc>
        <w:tc>
          <w:tcPr>
            <w:tcW w:w="1345" w:type="dxa"/>
            <w:tcBorders>
              <w:top w:val="nil"/>
              <w:left w:val="nil"/>
              <w:bottom w:val="nil"/>
              <w:right w:val="nil"/>
            </w:tcBorders>
            <w:shd w:val="clear" w:color="auto" w:fill="auto"/>
            <w:noWrap/>
            <w:vAlign w:val="bottom"/>
            <w:hideMark/>
          </w:tcPr>
          <w:p w14:paraId="29B7D934" w14:textId="77777777" w:rsidR="008B7898" w:rsidRPr="00577A60" w:rsidRDefault="008B7898" w:rsidP="00C855C7">
            <w:pPr>
              <w:rPr>
                <w:rFonts w:ascii="Calibri" w:hAnsi="Calibri" w:cs="Calibri"/>
                <w:color w:val="000000"/>
                <w:sz w:val="20"/>
                <w:szCs w:val="20"/>
              </w:rPr>
            </w:pPr>
          </w:p>
        </w:tc>
      </w:tr>
    </w:tbl>
    <w:p w14:paraId="60A6A51F" w14:textId="77777777" w:rsidR="008B7898" w:rsidRPr="008B7898" w:rsidRDefault="008B7898" w:rsidP="008B7898">
      <w:pPr>
        <w:spacing w:before="120"/>
        <w:rPr>
          <w:b/>
          <w:bCs/>
          <w:color w:val="000000" w:themeColor="text1"/>
        </w:rPr>
      </w:pPr>
    </w:p>
    <w:p w14:paraId="3313A097" w14:textId="0FF52809" w:rsidR="00502CEA" w:rsidRDefault="00502CEA" w:rsidP="008B7898">
      <w:pPr>
        <w:jc w:val="center"/>
        <w:rPr>
          <w:b/>
          <w:bCs/>
        </w:rPr>
      </w:pPr>
    </w:p>
    <w:p w14:paraId="74196D7A" w14:textId="0CF52185" w:rsidR="008B7898" w:rsidRDefault="00502CEA" w:rsidP="008B7898">
      <w:pPr>
        <w:jc w:val="center"/>
        <w:rPr>
          <w:b/>
          <w:bCs/>
        </w:rPr>
      </w:pPr>
      <w:r w:rsidRPr="00874A11">
        <w:rPr>
          <w:b/>
          <w:bCs/>
        </w:rPr>
        <w:t xml:space="preserve"> </w:t>
      </w:r>
      <w:r w:rsidR="008B7898">
        <w:rPr>
          <w:b/>
          <w:bCs/>
        </w:rPr>
        <w:t>B-2</w:t>
      </w:r>
      <w:r w:rsidR="008B7898" w:rsidRPr="00874A11">
        <w:rPr>
          <w:b/>
          <w:bCs/>
        </w:rPr>
        <w:t xml:space="preserve">: </w:t>
      </w:r>
      <w:r w:rsidR="008B7898" w:rsidRPr="008B7898">
        <w:rPr>
          <w:b/>
          <w:bCs/>
        </w:rPr>
        <w:t>No Storage, High Geothermal</w:t>
      </w:r>
      <w:r w:rsidR="008B7898" w:rsidRPr="00874A11">
        <w:rPr>
          <w:b/>
          <w:bCs/>
        </w:rPr>
        <w:t xml:space="preserve"> Portfolio Perfor</w:t>
      </w:r>
      <w:r w:rsidR="008B7898">
        <w:rPr>
          <w:b/>
          <w:bCs/>
        </w:rPr>
        <w:t>mance</w:t>
      </w:r>
      <w:r w:rsidR="008B7898" w:rsidRPr="00874A11">
        <w:rPr>
          <w:b/>
          <w:bCs/>
        </w:rPr>
        <w:t xml:space="preserve"> Under Uncertainty</w:t>
      </w:r>
    </w:p>
    <w:p w14:paraId="0E89CBA6" w14:textId="61D86B84" w:rsidR="008B7898" w:rsidRDefault="008B7898" w:rsidP="008B7898">
      <w:pPr>
        <w:jc w:val="center"/>
        <w:rPr>
          <w:b/>
          <w:bCs/>
        </w:rPr>
      </w:pPr>
      <w:r>
        <w:rPr>
          <w:noProof/>
        </w:rPr>
        <w:drawing>
          <wp:inline distT="0" distB="0" distL="0" distR="0" wp14:anchorId="46A185E3" wp14:editId="1864BC80">
            <wp:extent cx="5105400" cy="4260500"/>
            <wp:effectExtent l="0" t="0" r="0" b="0"/>
            <wp:docPr id="16693510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351000" name=""/>
                    <pic:cNvPicPr/>
                  </pic:nvPicPr>
                  <pic:blipFill>
                    <a:blip r:embed="rId54"/>
                    <a:stretch>
                      <a:fillRect/>
                    </a:stretch>
                  </pic:blipFill>
                  <pic:spPr>
                    <a:xfrm>
                      <a:off x="0" y="0"/>
                      <a:ext cx="5107214" cy="4262014"/>
                    </a:xfrm>
                    <a:prstGeom prst="rect">
                      <a:avLst/>
                    </a:prstGeom>
                  </pic:spPr>
                </pic:pic>
              </a:graphicData>
            </a:graphic>
          </wp:inline>
        </w:drawing>
      </w:r>
    </w:p>
    <w:p w14:paraId="55EC1162" w14:textId="77777777" w:rsidR="008B7898" w:rsidRDefault="008B7898" w:rsidP="00BC3BCC">
      <w:pPr>
        <w:jc w:val="center"/>
        <w:rPr>
          <w:b/>
          <w:bCs/>
        </w:rPr>
      </w:pPr>
    </w:p>
    <w:p w14:paraId="79F5EC3A" w14:textId="77777777" w:rsidR="008B7898" w:rsidRDefault="008B7898" w:rsidP="00BC3BCC">
      <w:pPr>
        <w:jc w:val="center"/>
        <w:rPr>
          <w:b/>
          <w:bCs/>
        </w:rPr>
      </w:pPr>
    </w:p>
    <w:p w14:paraId="0A92D1EE" w14:textId="77777777" w:rsidR="008B7898" w:rsidRDefault="008B7898">
      <w:pPr>
        <w:spacing w:after="200" w:line="276" w:lineRule="auto"/>
        <w:rPr>
          <w:b/>
          <w:bCs/>
        </w:rPr>
      </w:pPr>
      <w:r>
        <w:rPr>
          <w:b/>
          <w:bCs/>
        </w:rPr>
        <w:br w:type="page"/>
      </w:r>
    </w:p>
    <w:p w14:paraId="6A745EF6" w14:textId="24AFE28C" w:rsidR="008B7898" w:rsidRDefault="008B7898" w:rsidP="00B52E15">
      <w:pPr>
        <w:keepNext/>
        <w:spacing w:after="120"/>
        <w:jc w:val="center"/>
        <w:rPr>
          <w:b/>
          <w:bCs/>
        </w:rPr>
      </w:pPr>
      <w:r w:rsidRPr="00874A11">
        <w:rPr>
          <w:b/>
          <w:bCs/>
        </w:rPr>
        <w:lastRenderedPageBreak/>
        <w:t xml:space="preserve">Table </w:t>
      </w:r>
      <w:r>
        <w:rPr>
          <w:b/>
          <w:bCs/>
        </w:rPr>
        <w:t>B-3</w:t>
      </w:r>
      <w:r w:rsidRPr="00874A11">
        <w:rPr>
          <w:b/>
          <w:bCs/>
        </w:rPr>
        <w:t xml:space="preserve">: Performance of </w:t>
      </w:r>
      <w:r w:rsidRPr="008B7898">
        <w:rPr>
          <w:b/>
          <w:bCs/>
        </w:rPr>
        <w:t>High Internal Gen</w:t>
      </w:r>
      <w:r>
        <w:rPr>
          <w:b/>
          <w:bCs/>
        </w:rPr>
        <w:t xml:space="preserve"> </w:t>
      </w:r>
      <w:r w:rsidRPr="00874A11">
        <w:rPr>
          <w:b/>
          <w:bCs/>
        </w:rPr>
        <w:t xml:space="preserve">Portfolio in Meeting Reliability and State Policy </w:t>
      </w:r>
      <w:r w:rsidRPr="00AA51A9">
        <w:rPr>
          <w:b/>
          <w:bCs/>
        </w:rPr>
        <w:t>Criteria</w:t>
      </w:r>
      <w:r>
        <w:rPr>
          <w:b/>
          <w:bCs/>
        </w:rPr>
        <w:t>: CY 2025, 2030, 2035 and 2040</w:t>
      </w:r>
    </w:p>
    <w:tbl>
      <w:tblPr>
        <w:tblW w:w="7589" w:type="dxa"/>
        <w:jc w:val="center"/>
        <w:tblLook w:val="04A0" w:firstRow="1" w:lastRow="0" w:firstColumn="1" w:lastColumn="0" w:noHBand="0" w:noVBand="1"/>
      </w:tblPr>
      <w:tblGrid>
        <w:gridCol w:w="2209"/>
        <w:gridCol w:w="1345"/>
        <w:gridCol w:w="1345"/>
        <w:gridCol w:w="1345"/>
        <w:gridCol w:w="1345"/>
      </w:tblGrid>
      <w:tr w:rsidR="008B7898" w:rsidRPr="00874A11" w14:paraId="5123A078" w14:textId="77777777" w:rsidTr="00C855C7">
        <w:trPr>
          <w:trHeight w:val="273"/>
          <w:jc w:val="center"/>
        </w:trPr>
        <w:tc>
          <w:tcPr>
            <w:tcW w:w="22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6BE0CE" w14:textId="77777777" w:rsidR="008B7898" w:rsidRPr="00874A11" w:rsidRDefault="008B7898" w:rsidP="00C855C7">
            <w:pPr>
              <w:jc w:val="center"/>
              <w:rPr>
                <w:rFonts w:ascii="Calibri" w:hAnsi="Calibri" w:cs="Calibri"/>
                <w:b/>
                <w:bCs/>
                <w:color w:val="000000"/>
                <w:sz w:val="22"/>
                <w:szCs w:val="22"/>
              </w:rPr>
            </w:pPr>
            <w:r w:rsidRPr="00874A11">
              <w:rPr>
                <w:rFonts w:ascii="Calibri" w:hAnsi="Calibri" w:cs="Calibri"/>
                <w:b/>
                <w:bCs/>
                <w:color w:val="000000"/>
                <w:sz w:val="22"/>
                <w:szCs w:val="22"/>
              </w:rPr>
              <w:t>Criteria</w:t>
            </w:r>
          </w:p>
        </w:tc>
        <w:tc>
          <w:tcPr>
            <w:tcW w:w="1345" w:type="dxa"/>
            <w:tcBorders>
              <w:top w:val="single" w:sz="4" w:space="0" w:color="auto"/>
              <w:left w:val="nil"/>
              <w:bottom w:val="single" w:sz="4" w:space="0" w:color="auto"/>
              <w:right w:val="single" w:sz="4" w:space="0" w:color="auto"/>
            </w:tcBorders>
            <w:shd w:val="clear" w:color="auto" w:fill="auto"/>
            <w:noWrap/>
            <w:vAlign w:val="center"/>
            <w:hideMark/>
          </w:tcPr>
          <w:p w14:paraId="7E9C05B7" w14:textId="77777777" w:rsidR="008B7898" w:rsidRPr="00874A11" w:rsidRDefault="008B7898" w:rsidP="00C855C7">
            <w:pPr>
              <w:jc w:val="center"/>
              <w:rPr>
                <w:rFonts w:ascii="Calibri" w:hAnsi="Calibri" w:cs="Calibri"/>
                <w:b/>
                <w:bCs/>
                <w:color w:val="000000"/>
                <w:sz w:val="22"/>
                <w:szCs w:val="22"/>
              </w:rPr>
            </w:pPr>
            <w:r w:rsidRPr="00874A11">
              <w:rPr>
                <w:rFonts w:ascii="Calibri" w:hAnsi="Calibri" w:cs="Calibri"/>
                <w:b/>
                <w:bCs/>
                <w:color w:val="000000"/>
                <w:sz w:val="22"/>
                <w:szCs w:val="22"/>
              </w:rPr>
              <w:t xml:space="preserve">2025 </w:t>
            </w:r>
          </w:p>
        </w:tc>
        <w:tc>
          <w:tcPr>
            <w:tcW w:w="1345" w:type="dxa"/>
            <w:tcBorders>
              <w:top w:val="single" w:sz="4" w:space="0" w:color="auto"/>
              <w:left w:val="nil"/>
              <w:bottom w:val="single" w:sz="4" w:space="0" w:color="auto"/>
              <w:right w:val="single" w:sz="4" w:space="0" w:color="auto"/>
            </w:tcBorders>
            <w:shd w:val="clear" w:color="auto" w:fill="auto"/>
            <w:noWrap/>
            <w:vAlign w:val="center"/>
            <w:hideMark/>
          </w:tcPr>
          <w:p w14:paraId="4294373D" w14:textId="77777777" w:rsidR="008B7898" w:rsidRPr="00874A11" w:rsidRDefault="008B7898" w:rsidP="00C855C7">
            <w:pPr>
              <w:jc w:val="center"/>
              <w:rPr>
                <w:rFonts w:ascii="Calibri" w:hAnsi="Calibri" w:cs="Calibri"/>
                <w:b/>
                <w:bCs/>
                <w:color w:val="000000"/>
                <w:sz w:val="22"/>
                <w:szCs w:val="22"/>
              </w:rPr>
            </w:pPr>
            <w:r w:rsidRPr="00874A11">
              <w:rPr>
                <w:rFonts w:ascii="Calibri" w:hAnsi="Calibri" w:cs="Calibri"/>
                <w:b/>
                <w:bCs/>
                <w:color w:val="000000"/>
                <w:sz w:val="22"/>
                <w:szCs w:val="22"/>
              </w:rPr>
              <w:t xml:space="preserve">2030 </w:t>
            </w:r>
          </w:p>
        </w:tc>
        <w:tc>
          <w:tcPr>
            <w:tcW w:w="1345" w:type="dxa"/>
            <w:tcBorders>
              <w:top w:val="single" w:sz="4" w:space="0" w:color="auto"/>
              <w:left w:val="nil"/>
              <w:bottom w:val="single" w:sz="4" w:space="0" w:color="auto"/>
              <w:right w:val="single" w:sz="4" w:space="0" w:color="auto"/>
            </w:tcBorders>
            <w:shd w:val="clear" w:color="auto" w:fill="auto"/>
            <w:noWrap/>
            <w:vAlign w:val="center"/>
            <w:hideMark/>
          </w:tcPr>
          <w:p w14:paraId="4B17FF71" w14:textId="77777777" w:rsidR="008B7898" w:rsidRPr="00874A11" w:rsidRDefault="008B7898" w:rsidP="00C855C7">
            <w:pPr>
              <w:jc w:val="center"/>
              <w:rPr>
                <w:rFonts w:ascii="Calibri" w:hAnsi="Calibri" w:cs="Calibri"/>
                <w:b/>
                <w:bCs/>
                <w:color w:val="000000"/>
                <w:sz w:val="22"/>
                <w:szCs w:val="22"/>
              </w:rPr>
            </w:pPr>
            <w:r w:rsidRPr="00874A11">
              <w:rPr>
                <w:rFonts w:ascii="Calibri" w:hAnsi="Calibri" w:cs="Calibri"/>
                <w:b/>
                <w:bCs/>
                <w:color w:val="000000"/>
                <w:sz w:val="22"/>
                <w:szCs w:val="22"/>
              </w:rPr>
              <w:t xml:space="preserve">2035 </w:t>
            </w:r>
          </w:p>
        </w:tc>
        <w:tc>
          <w:tcPr>
            <w:tcW w:w="1345" w:type="dxa"/>
            <w:tcBorders>
              <w:top w:val="single" w:sz="4" w:space="0" w:color="auto"/>
              <w:left w:val="nil"/>
              <w:bottom w:val="single" w:sz="4" w:space="0" w:color="auto"/>
              <w:right w:val="single" w:sz="4" w:space="0" w:color="auto"/>
            </w:tcBorders>
            <w:shd w:val="clear" w:color="auto" w:fill="auto"/>
            <w:noWrap/>
            <w:vAlign w:val="center"/>
            <w:hideMark/>
          </w:tcPr>
          <w:p w14:paraId="72AF7B8C" w14:textId="77777777" w:rsidR="008B7898" w:rsidRPr="00874A11" w:rsidRDefault="008B7898" w:rsidP="00C855C7">
            <w:pPr>
              <w:jc w:val="center"/>
              <w:rPr>
                <w:rFonts w:ascii="Calibri" w:hAnsi="Calibri" w:cs="Calibri"/>
                <w:b/>
                <w:bCs/>
                <w:color w:val="000000"/>
                <w:sz w:val="22"/>
                <w:szCs w:val="22"/>
              </w:rPr>
            </w:pPr>
            <w:r w:rsidRPr="00874A11">
              <w:rPr>
                <w:rFonts w:ascii="Calibri" w:hAnsi="Calibri" w:cs="Calibri"/>
                <w:b/>
                <w:bCs/>
                <w:color w:val="000000"/>
                <w:sz w:val="22"/>
                <w:szCs w:val="22"/>
              </w:rPr>
              <w:t xml:space="preserve">2040 </w:t>
            </w:r>
          </w:p>
        </w:tc>
      </w:tr>
      <w:tr w:rsidR="008B7898" w:rsidRPr="00874A11" w14:paraId="591B1CB4" w14:textId="77777777" w:rsidTr="00C855C7">
        <w:trPr>
          <w:trHeight w:val="273"/>
          <w:jc w:val="center"/>
        </w:trPr>
        <w:tc>
          <w:tcPr>
            <w:tcW w:w="2209" w:type="dxa"/>
            <w:tcBorders>
              <w:top w:val="nil"/>
              <w:left w:val="single" w:sz="4" w:space="0" w:color="auto"/>
              <w:bottom w:val="single" w:sz="4" w:space="0" w:color="auto"/>
              <w:right w:val="single" w:sz="4" w:space="0" w:color="auto"/>
            </w:tcBorders>
            <w:shd w:val="clear" w:color="auto" w:fill="auto"/>
            <w:noWrap/>
            <w:vAlign w:val="center"/>
            <w:hideMark/>
          </w:tcPr>
          <w:p w14:paraId="5ED00A1D" w14:textId="77777777" w:rsidR="008B7898" w:rsidRPr="00874A11" w:rsidRDefault="008B7898" w:rsidP="008B7898">
            <w:pPr>
              <w:rPr>
                <w:rFonts w:ascii="Calibri" w:hAnsi="Calibri" w:cs="Calibri"/>
                <w:b/>
                <w:bCs/>
                <w:color w:val="000000"/>
                <w:sz w:val="22"/>
                <w:szCs w:val="22"/>
              </w:rPr>
            </w:pPr>
            <w:r w:rsidRPr="00874A11">
              <w:rPr>
                <w:rFonts w:ascii="Calibri" w:hAnsi="Calibri" w:cs="Calibri"/>
                <w:b/>
                <w:bCs/>
                <w:color w:val="000000"/>
                <w:sz w:val="22"/>
                <w:szCs w:val="22"/>
              </w:rPr>
              <w:t>Contracted PRM (%)</w:t>
            </w:r>
          </w:p>
        </w:tc>
        <w:tc>
          <w:tcPr>
            <w:tcW w:w="1345" w:type="dxa"/>
            <w:tcBorders>
              <w:top w:val="nil"/>
              <w:left w:val="nil"/>
              <w:bottom w:val="single" w:sz="4" w:space="0" w:color="auto"/>
              <w:right w:val="single" w:sz="4" w:space="0" w:color="auto"/>
            </w:tcBorders>
            <w:shd w:val="clear" w:color="auto" w:fill="auto"/>
            <w:noWrap/>
            <w:vAlign w:val="center"/>
            <w:hideMark/>
          </w:tcPr>
          <w:p w14:paraId="6E20D14D" w14:textId="77777777" w:rsidR="008B7898" w:rsidRPr="00874A11" w:rsidRDefault="008B7898" w:rsidP="008B7898">
            <w:pPr>
              <w:jc w:val="right"/>
              <w:rPr>
                <w:rFonts w:ascii="Calibri" w:hAnsi="Calibri" w:cs="Calibri"/>
                <w:color w:val="000000"/>
                <w:sz w:val="22"/>
                <w:szCs w:val="22"/>
              </w:rPr>
            </w:pPr>
            <w:r>
              <w:rPr>
                <w:rFonts w:ascii="Calibri" w:hAnsi="Calibri" w:cs="Calibri"/>
                <w:color w:val="000000"/>
                <w:sz w:val="22"/>
                <w:szCs w:val="22"/>
              </w:rPr>
              <w:t>96</w:t>
            </w:r>
            <w:r w:rsidRPr="00874A11">
              <w:rPr>
                <w:rFonts w:ascii="Calibri" w:hAnsi="Calibri" w:cs="Calibri"/>
                <w:color w:val="000000"/>
                <w:sz w:val="22"/>
                <w:szCs w:val="22"/>
              </w:rPr>
              <w:t>%*</w:t>
            </w:r>
          </w:p>
        </w:tc>
        <w:tc>
          <w:tcPr>
            <w:tcW w:w="1345" w:type="dxa"/>
            <w:tcBorders>
              <w:top w:val="nil"/>
              <w:left w:val="nil"/>
              <w:bottom w:val="single" w:sz="4" w:space="0" w:color="auto"/>
              <w:right w:val="single" w:sz="4" w:space="0" w:color="auto"/>
            </w:tcBorders>
            <w:shd w:val="clear" w:color="auto" w:fill="auto"/>
            <w:noWrap/>
            <w:vAlign w:val="center"/>
            <w:hideMark/>
          </w:tcPr>
          <w:p w14:paraId="7C0A5DD9" w14:textId="496A4B69" w:rsidR="008B7898" w:rsidRPr="00874A11" w:rsidRDefault="008B7898" w:rsidP="008B7898">
            <w:pPr>
              <w:jc w:val="right"/>
              <w:rPr>
                <w:rFonts w:ascii="Calibri" w:hAnsi="Calibri" w:cs="Calibri"/>
                <w:color w:val="000000"/>
                <w:sz w:val="22"/>
                <w:szCs w:val="22"/>
              </w:rPr>
            </w:pPr>
            <w:r w:rsidRPr="008B7898">
              <w:rPr>
                <w:rFonts w:ascii="Calibri" w:hAnsi="Calibri" w:cs="Calibri"/>
                <w:color w:val="000000"/>
                <w:sz w:val="22"/>
                <w:szCs w:val="22"/>
              </w:rPr>
              <w:t>127%</w:t>
            </w:r>
          </w:p>
        </w:tc>
        <w:tc>
          <w:tcPr>
            <w:tcW w:w="1345" w:type="dxa"/>
            <w:tcBorders>
              <w:top w:val="nil"/>
              <w:left w:val="nil"/>
              <w:bottom w:val="single" w:sz="4" w:space="0" w:color="auto"/>
              <w:right w:val="single" w:sz="4" w:space="0" w:color="auto"/>
            </w:tcBorders>
            <w:shd w:val="clear" w:color="auto" w:fill="auto"/>
            <w:noWrap/>
            <w:vAlign w:val="center"/>
            <w:hideMark/>
          </w:tcPr>
          <w:p w14:paraId="34BF36CF" w14:textId="4860B85F" w:rsidR="008B7898" w:rsidRPr="00874A11" w:rsidRDefault="008B7898" w:rsidP="008B7898">
            <w:pPr>
              <w:jc w:val="right"/>
              <w:rPr>
                <w:rFonts w:ascii="Calibri" w:hAnsi="Calibri" w:cs="Calibri"/>
                <w:color w:val="000000"/>
                <w:sz w:val="22"/>
                <w:szCs w:val="22"/>
              </w:rPr>
            </w:pPr>
            <w:r w:rsidRPr="008B7898">
              <w:rPr>
                <w:rFonts w:ascii="Calibri" w:hAnsi="Calibri" w:cs="Calibri"/>
                <w:color w:val="000000"/>
                <w:sz w:val="22"/>
                <w:szCs w:val="22"/>
              </w:rPr>
              <w:t>127%</w:t>
            </w:r>
          </w:p>
        </w:tc>
        <w:tc>
          <w:tcPr>
            <w:tcW w:w="1345" w:type="dxa"/>
            <w:tcBorders>
              <w:top w:val="nil"/>
              <w:left w:val="nil"/>
              <w:bottom w:val="single" w:sz="4" w:space="0" w:color="auto"/>
              <w:right w:val="single" w:sz="4" w:space="0" w:color="auto"/>
            </w:tcBorders>
            <w:shd w:val="clear" w:color="auto" w:fill="auto"/>
            <w:noWrap/>
            <w:vAlign w:val="center"/>
            <w:hideMark/>
          </w:tcPr>
          <w:p w14:paraId="26A6691C" w14:textId="7B48D805" w:rsidR="008B7898" w:rsidRPr="00874A11" w:rsidRDefault="008B7898" w:rsidP="008B7898">
            <w:pPr>
              <w:jc w:val="right"/>
              <w:rPr>
                <w:rFonts w:ascii="Calibri" w:hAnsi="Calibri" w:cs="Calibri"/>
                <w:color w:val="000000"/>
                <w:sz w:val="22"/>
                <w:szCs w:val="22"/>
              </w:rPr>
            </w:pPr>
            <w:r w:rsidRPr="008B7898">
              <w:rPr>
                <w:rFonts w:ascii="Calibri" w:hAnsi="Calibri" w:cs="Calibri"/>
                <w:color w:val="000000"/>
                <w:sz w:val="22"/>
                <w:szCs w:val="22"/>
              </w:rPr>
              <w:t>115%</w:t>
            </w:r>
          </w:p>
        </w:tc>
      </w:tr>
      <w:tr w:rsidR="008B7898" w:rsidRPr="00874A11" w14:paraId="3BB442B0" w14:textId="77777777" w:rsidTr="00C855C7">
        <w:trPr>
          <w:trHeight w:val="273"/>
          <w:jc w:val="center"/>
        </w:trPr>
        <w:tc>
          <w:tcPr>
            <w:tcW w:w="2209" w:type="dxa"/>
            <w:tcBorders>
              <w:top w:val="nil"/>
              <w:left w:val="single" w:sz="4" w:space="0" w:color="auto"/>
              <w:bottom w:val="single" w:sz="4" w:space="0" w:color="auto"/>
              <w:right w:val="single" w:sz="4" w:space="0" w:color="auto"/>
            </w:tcBorders>
            <w:shd w:val="clear" w:color="auto" w:fill="auto"/>
            <w:noWrap/>
            <w:vAlign w:val="center"/>
            <w:hideMark/>
          </w:tcPr>
          <w:p w14:paraId="002914D0" w14:textId="77777777" w:rsidR="008B7898" w:rsidRPr="00874A11" w:rsidRDefault="008B7898" w:rsidP="008B7898">
            <w:pPr>
              <w:rPr>
                <w:rFonts w:ascii="Calibri" w:hAnsi="Calibri" w:cs="Calibri"/>
                <w:b/>
                <w:bCs/>
                <w:color w:val="000000"/>
                <w:sz w:val="22"/>
                <w:szCs w:val="22"/>
              </w:rPr>
            </w:pPr>
            <w:r w:rsidRPr="00874A11">
              <w:rPr>
                <w:rFonts w:ascii="Calibri" w:hAnsi="Calibri" w:cs="Calibri"/>
                <w:b/>
                <w:bCs/>
                <w:color w:val="000000"/>
                <w:sz w:val="22"/>
                <w:szCs w:val="22"/>
              </w:rPr>
              <w:t>Contracted RPS (%)</w:t>
            </w:r>
          </w:p>
        </w:tc>
        <w:tc>
          <w:tcPr>
            <w:tcW w:w="1345" w:type="dxa"/>
            <w:tcBorders>
              <w:top w:val="nil"/>
              <w:left w:val="nil"/>
              <w:bottom w:val="single" w:sz="4" w:space="0" w:color="auto"/>
              <w:right w:val="single" w:sz="4" w:space="0" w:color="auto"/>
            </w:tcBorders>
            <w:shd w:val="clear" w:color="auto" w:fill="auto"/>
            <w:noWrap/>
            <w:vAlign w:val="center"/>
            <w:hideMark/>
          </w:tcPr>
          <w:p w14:paraId="431026DC" w14:textId="77777777" w:rsidR="008B7898" w:rsidRPr="00874A11" w:rsidRDefault="008B7898" w:rsidP="008B7898">
            <w:pPr>
              <w:jc w:val="right"/>
              <w:rPr>
                <w:rFonts w:ascii="Calibri" w:hAnsi="Calibri" w:cs="Calibri"/>
                <w:color w:val="000000"/>
                <w:sz w:val="22"/>
                <w:szCs w:val="22"/>
              </w:rPr>
            </w:pPr>
            <w:r w:rsidRPr="008B7898">
              <w:rPr>
                <w:rFonts w:ascii="Calibri" w:hAnsi="Calibri" w:cs="Calibri"/>
                <w:color w:val="000000"/>
                <w:sz w:val="22"/>
                <w:szCs w:val="22"/>
              </w:rPr>
              <w:t>55%</w:t>
            </w:r>
          </w:p>
        </w:tc>
        <w:tc>
          <w:tcPr>
            <w:tcW w:w="1345" w:type="dxa"/>
            <w:tcBorders>
              <w:top w:val="nil"/>
              <w:left w:val="nil"/>
              <w:bottom w:val="single" w:sz="4" w:space="0" w:color="auto"/>
              <w:right w:val="single" w:sz="4" w:space="0" w:color="auto"/>
            </w:tcBorders>
            <w:shd w:val="clear" w:color="auto" w:fill="auto"/>
            <w:noWrap/>
            <w:vAlign w:val="center"/>
            <w:hideMark/>
          </w:tcPr>
          <w:p w14:paraId="5DAFA1B6" w14:textId="3707949D" w:rsidR="008B7898" w:rsidRPr="00874A11" w:rsidRDefault="008B7898" w:rsidP="008B7898">
            <w:pPr>
              <w:jc w:val="right"/>
              <w:rPr>
                <w:rFonts w:ascii="Calibri" w:hAnsi="Calibri" w:cs="Calibri"/>
                <w:color w:val="000000"/>
                <w:sz w:val="22"/>
                <w:szCs w:val="22"/>
              </w:rPr>
            </w:pPr>
            <w:r w:rsidRPr="008B7898">
              <w:rPr>
                <w:rFonts w:ascii="Calibri" w:hAnsi="Calibri" w:cs="Calibri"/>
                <w:color w:val="000000"/>
                <w:sz w:val="22"/>
                <w:szCs w:val="22"/>
              </w:rPr>
              <w:t>99%</w:t>
            </w:r>
          </w:p>
        </w:tc>
        <w:tc>
          <w:tcPr>
            <w:tcW w:w="1345" w:type="dxa"/>
            <w:tcBorders>
              <w:top w:val="nil"/>
              <w:left w:val="nil"/>
              <w:bottom w:val="single" w:sz="4" w:space="0" w:color="auto"/>
              <w:right w:val="single" w:sz="4" w:space="0" w:color="auto"/>
            </w:tcBorders>
            <w:shd w:val="clear" w:color="auto" w:fill="auto"/>
            <w:noWrap/>
            <w:vAlign w:val="center"/>
            <w:hideMark/>
          </w:tcPr>
          <w:p w14:paraId="35DB9889" w14:textId="15866671" w:rsidR="008B7898" w:rsidRPr="00874A11" w:rsidRDefault="008B7898" w:rsidP="008B7898">
            <w:pPr>
              <w:jc w:val="right"/>
              <w:rPr>
                <w:rFonts w:ascii="Calibri" w:hAnsi="Calibri" w:cs="Calibri"/>
                <w:color w:val="000000"/>
                <w:sz w:val="22"/>
                <w:szCs w:val="22"/>
              </w:rPr>
            </w:pPr>
            <w:r w:rsidRPr="008B7898">
              <w:rPr>
                <w:rFonts w:ascii="Calibri" w:hAnsi="Calibri" w:cs="Calibri"/>
                <w:color w:val="000000"/>
                <w:sz w:val="22"/>
                <w:szCs w:val="22"/>
              </w:rPr>
              <w:t>98%</w:t>
            </w:r>
          </w:p>
        </w:tc>
        <w:tc>
          <w:tcPr>
            <w:tcW w:w="1345" w:type="dxa"/>
            <w:tcBorders>
              <w:top w:val="nil"/>
              <w:left w:val="nil"/>
              <w:bottom w:val="single" w:sz="4" w:space="0" w:color="auto"/>
              <w:right w:val="single" w:sz="4" w:space="0" w:color="auto"/>
            </w:tcBorders>
            <w:shd w:val="clear" w:color="auto" w:fill="auto"/>
            <w:noWrap/>
            <w:vAlign w:val="center"/>
            <w:hideMark/>
          </w:tcPr>
          <w:p w14:paraId="44779C4E" w14:textId="1374ABD9" w:rsidR="008B7898" w:rsidRPr="00874A11" w:rsidRDefault="008B7898" w:rsidP="008B7898">
            <w:pPr>
              <w:jc w:val="right"/>
              <w:rPr>
                <w:rFonts w:ascii="Calibri" w:hAnsi="Calibri" w:cs="Calibri"/>
                <w:color w:val="000000"/>
                <w:sz w:val="22"/>
                <w:szCs w:val="22"/>
              </w:rPr>
            </w:pPr>
            <w:r w:rsidRPr="008B7898">
              <w:rPr>
                <w:rFonts w:ascii="Calibri" w:hAnsi="Calibri" w:cs="Calibri"/>
                <w:color w:val="000000"/>
                <w:sz w:val="22"/>
                <w:szCs w:val="22"/>
              </w:rPr>
              <w:t>94%</w:t>
            </w:r>
          </w:p>
        </w:tc>
      </w:tr>
      <w:tr w:rsidR="008B7898" w:rsidRPr="00874A11" w14:paraId="26A1A654" w14:textId="77777777" w:rsidTr="00C855C7">
        <w:trPr>
          <w:trHeight w:val="273"/>
          <w:jc w:val="center"/>
        </w:trPr>
        <w:tc>
          <w:tcPr>
            <w:tcW w:w="2209" w:type="dxa"/>
            <w:tcBorders>
              <w:top w:val="nil"/>
              <w:left w:val="single" w:sz="4" w:space="0" w:color="auto"/>
              <w:bottom w:val="single" w:sz="4" w:space="0" w:color="auto"/>
              <w:right w:val="single" w:sz="4" w:space="0" w:color="auto"/>
            </w:tcBorders>
            <w:shd w:val="clear" w:color="auto" w:fill="auto"/>
            <w:noWrap/>
            <w:vAlign w:val="center"/>
            <w:hideMark/>
          </w:tcPr>
          <w:p w14:paraId="0D6F386D" w14:textId="77777777" w:rsidR="008B7898" w:rsidRPr="00874A11" w:rsidRDefault="008B7898" w:rsidP="008B7898">
            <w:pPr>
              <w:rPr>
                <w:rFonts w:ascii="Calibri" w:hAnsi="Calibri" w:cs="Calibri"/>
                <w:b/>
                <w:bCs/>
                <w:color w:val="000000"/>
                <w:sz w:val="22"/>
                <w:szCs w:val="22"/>
              </w:rPr>
            </w:pPr>
            <w:r w:rsidRPr="00874A11">
              <w:rPr>
                <w:rFonts w:ascii="Calibri" w:hAnsi="Calibri" w:cs="Calibri"/>
                <w:b/>
                <w:bCs/>
                <w:color w:val="000000"/>
                <w:sz w:val="22"/>
                <w:szCs w:val="22"/>
              </w:rPr>
              <w:t>GHG Free (%)</w:t>
            </w:r>
          </w:p>
        </w:tc>
        <w:tc>
          <w:tcPr>
            <w:tcW w:w="1345" w:type="dxa"/>
            <w:tcBorders>
              <w:top w:val="nil"/>
              <w:left w:val="nil"/>
              <w:bottom w:val="single" w:sz="4" w:space="0" w:color="auto"/>
              <w:right w:val="single" w:sz="4" w:space="0" w:color="auto"/>
            </w:tcBorders>
            <w:shd w:val="clear" w:color="auto" w:fill="auto"/>
            <w:noWrap/>
            <w:vAlign w:val="center"/>
            <w:hideMark/>
          </w:tcPr>
          <w:p w14:paraId="7ED462F1" w14:textId="77777777" w:rsidR="008B7898" w:rsidRPr="00874A11" w:rsidRDefault="008B7898" w:rsidP="008B7898">
            <w:pPr>
              <w:jc w:val="right"/>
              <w:rPr>
                <w:rFonts w:ascii="Calibri" w:hAnsi="Calibri" w:cs="Calibri"/>
                <w:color w:val="000000"/>
                <w:sz w:val="22"/>
                <w:szCs w:val="22"/>
              </w:rPr>
            </w:pPr>
            <w:r w:rsidRPr="008B7898">
              <w:rPr>
                <w:rFonts w:ascii="Calibri" w:hAnsi="Calibri" w:cs="Calibri"/>
                <w:color w:val="000000"/>
                <w:sz w:val="22"/>
                <w:szCs w:val="22"/>
              </w:rPr>
              <w:t>59%</w:t>
            </w:r>
          </w:p>
        </w:tc>
        <w:tc>
          <w:tcPr>
            <w:tcW w:w="1345" w:type="dxa"/>
            <w:tcBorders>
              <w:top w:val="nil"/>
              <w:left w:val="nil"/>
              <w:bottom w:val="single" w:sz="4" w:space="0" w:color="auto"/>
              <w:right w:val="single" w:sz="4" w:space="0" w:color="auto"/>
            </w:tcBorders>
            <w:shd w:val="clear" w:color="auto" w:fill="auto"/>
            <w:noWrap/>
            <w:vAlign w:val="center"/>
            <w:hideMark/>
          </w:tcPr>
          <w:p w14:paraId="34E4C458" w14:textId="31E27E84" w:rsidR="008B7898" w:rsidRPr="00874A11" w:rsidRDefault="008B7898" w:rsidP="008B7898">
            <w:pPr>
              <w:jc w:val="right"/>
              <w:rPr>
                <w:rFonts w:ascii="Calibri" w:hAnsi="Calibri" w:cs="Calibri"/>
                <w:color w:val="000000"/>
                <w:sz w:val="22"/>
                <w:szCs w:val="22"/>
              </w:rPr>
            </w:pPr>
            <w:r w:rsidRPr="008B7898">
              <w:rPr>
                <w:rFonts w:ascii="Calibri" w:hAnsi="Calibri" w:cs="Calibri"/>
                <w:color w:val="000000"/>
                <w:sz w:val="22"/>
                <w:szCs w:val="22"/>
              </w:rPr>
              <w:t>106%</w:t>
            </w:r>
          </w:p>
        </w:tc>
        <w:tc>
          <w:tcPr>
            <w:tcW w:w="1345" w:type="dxa"/>
            <w:tcBorders>
              <w:top w:val="nil"/>
              <w:left w:val="nil"/>
              <w:bottom w:val="single" w:sz="4" w:space="0" w:color="auto"/>
              <w:right w:val="single" w:sz="4" w:space="0" w:color="auto"/>
            </w:tcBorders>
            <w:shd w:val="clear" w:color="auto" w:fill="auto"/>
            <w:noWrap/>
            <w:vAlign w:val="center"/>
            <w:hideMark/>
          </w:tcPr>
          <w:p w14:paraId="474D2322" w14:textId="2E2ED1CE" w:rsidR="008B7898" w:rsidRPr="00874A11" w:rsidRDefault="008B7898" w:rsidP="008B7898">
            <w:pPr>
              <w:jc w:val="right"/>
              <w:rPr>
                <w:rFonts w:ascii="Calibri" w:hAnsi="Calibri" w:cs="Calibri"/>
                <w:color w:val="000000"/>
                <w:sz w:val="22"/>
                <w:szCs w:val="22"/>
              </w:rPr>
            </w:pPr>
            <w:r w:rsidRPr="008B7898">
              <w:rPr>
                <w:rFonts w:ascii="Calibri" w:hAnsi="Calibri" w:cs="Calibri"/>
                <w:color w:val="000000"/>
                <w:sz w:val="22"/>
                <w:szCs w:val="22"/>
              </w:rPr>
              <w:t>100%</w:t>
            </w:r>
          </w:p>
        </w:tc>
        <w:tc>
          <w:tcPr>
            <w:tcW w:w="1345" w:type="dxa"/>
            <w:tcBorders>
              <w:top w:val="nil"/>
              <w:left w:val="nil"/>
              <w:bottom w:val="single" w:sz="4" w:space="0" w:color="auto"/>
              <w:right w:val="single" w:sz="4" w:space="0" w:color="auto"/>
            </w:tcBorders>
            <w:shd w:val="clear" w:color="auto" w:fill="auto"/>
            <w:noWrap/>
            <w:vAlign w:val="center"/>
            <w:hideMark/>
          </w:tcPr>
          <w:p w14:paraId="7549ADE8" w14:textId="35BE99AE" w:rsidR="008B7898" w:rsidRPr="00874A11" w:rsidRDefault="008B7898" w:rsidP="008B7898">
            <w:pPr>
              <w:jc w:val="right"/>
              <w:rPr>
                <w:rFonts w:ascii="Calibri" w:hAnsi="Calibri" w:cs="Calibri"/>
                <w:color w:val="000000"/>
                <w:sz w:val="22"/>
                <w:szCs w:val="22"/>
              </w:rPr>
            </w:pPr>
            <w:r w:rsidRPr="008B7898">
              <w:rPr>
                <w:rFonts w:ascii="Calibri" w:hAnsi="Calibri" w:cs="Calibri"/>
                <w:color w:val="000000"/>
                <w:sz w:val="22"/>
                <w:szCs w:val="22"/>
              </w:rPr>
              <w:t>97%</w:t>
            </w:r>
          </w:p>
        </w:tc>
      </w:tr>
      <w:tr w:rsidR="008B7898" w:rsidRPr="00874A11" w14:paraId="6B0590D6" w14:textId="77777777" w:rsidTr="00C855C7">
        <w:trPr>
          <w:trHeight w:val="273"/>
          <w:jc w:val="center"/>
        </w:trPr>
        <w:tc>
          <w:tcPr>
            <w:tcW w:w="6244" w:type="dxa"/>
            <w:gridSpan w:val="4"/>
            <w:tcBorders>
              <w:top w:val="nil"/>
              <w:left w:val="nil"/>
              <w:bottom w:val="nil"/>
              <w:right w:val="nil"/>
            </w:tcBorders>
            <w:shd w:val="clear" w:color="auto" w:fill="auto"/>
            <w:noWrap/>
            <w:vAlign w:val="bottom"/>
            <w:hideMark/>
          </w:tcPr>
          <w:p w14:paraId="2276A089" w14:textId="77777777" w:rsidR="008B7898" w:rsidRPr="00577A60" w:rsidRDefault="008B7898" w:rsidP="00C855C7">
            <w:pPr>
              <w:rPr>
                <w:rFonts w:ascii="Calibri" w:hAnsi="Calibri" w:cs="Calibri"/>
                <w:color w:val="000000"/>
                <w:sz w:val="20"/>
                <w:szCs w:val="20"/>
              </w:rPr>
            </w:pPr>
            <w:r w:rsidRPr="00577A60">
              <w:rPr>
                <w:rFonts w:ascii="Calibri" w:hAnsi="Calibri" w:cs="Calibri"/>
                <w:color w:val="000000"/>
                <w:sz w:val="20"/>
                <w:szCs w:val="20"/>
              </w:rPr>
              <w:t>* Requires additional short-term RA capacity purchases to meet 115%</w:t>
            </w:r>
            <w:r>
              <w:rPr>
                <w:rFonts w:ascii="Calibri" w:hAnsi="Calibri" w:cs="Calibri"/>
                <w:color w:val="000000"/>
                <w:sz w:val="20"/>
                <w:szCs w:val="20"/>
              </w:rPr>
              <w:t xml:space="preserve"> </w:t>
            </w:r>
            <w:r w:rsidRPr="00577A60">
              <w:rPr>
                <w:rFonts w:ascii="Calibri" w:hAnsi="Calibri" w:cs="Calibri"/>
                <w:color w:val="000000"/>
                <w:sz w:val="20"/>
                <w:szCs w:val="20"/>
              </w:rPr>
              <w:t xml:space="preserve">PRM. The RPS target increases from 45% in 2025 to 60% </w:t>
            </w:r>
            <w:r>
              <w:rPr>
                <w:rFonts w:ascii="Calibri" w:hAnsi="Calibri" w:cs="Calibri"/>
                <w:color w:val="000000"/>
                <w:sz w:val="20"/>
                <w:szCs w:val="20"/>
              </w:rPr>
              <w:t>in</w:t>
            </w:r>
            <w:r w:rsidRPr="00577A60">
              <w:rPr>
                <w:rFonts w:ascii="Calibri" w:hAnsi="Calibri" w:cs="Calibri"/>
                <w:color w:val="000000"/>
                <w:sz w:val="20"/>
                <w:szCs w:val="20"/>
              </w:rPr>
              <w:t xml:space="preserve"> 2030. The GHG Free target is 90% in 2035 and 95% in 2040.</w:t>
            </w:r>
          </w:p>
        </w:tc>
        <w:tc>
          <w:tcPr>
            <w:tcW w:w="1345" w:type="dxa"/>
            <w:tcBorders>
              <w:top w:val="nil"/>
              <w:left w:val="nil"/>
              <w:bottom w:val="nil"/>
              <w:right w:val="nil"/>
            </w:tcBorders>
            <w:shd w:val="clear" w:color="auto" w:fill="auto"/>
            <w:noWrap/>
            <w:vAlign w:val="bottom"/>
            <w:hideMark/>
          </w:tcPr>
          <w:p w14:paraId="3BF96E34" w14:textId="77777777" w:rsidR="008B7898" w:rsidRPr="00577A60" w:rsidRDefault="008B7898" w:rsidP="00C855C7">
            <w:pPr>
              <w:rPr>
                <w:rFonts w:ascii="Calibri" w:hAnsi="Calibri" w:cs="Calibri"/>
                <w:color w:val="000000"/>
                <w:sz w:val="20"/>
                <w:szCs w:val="20"/>
              </w:rPr>
            </w:pPr>
          </w:p>
        </w:tc>
      </w:tr>
    </w:tbl>
    <w:p w14:paraId="4F925AAD" w14:textId="77777777" w:rsidR="008B7898" w:rsidRPr="008B7898" w:rsidRDefault="008B7898" w:rsidP="008B7898">
      <w:pPr>
        <w:spacing w:before="120"/>
        <w:rPr>
          <w:b/>
          <w:bCs/>
          <w:color w:val="000000" w:themeColor="text1"/>
        </w:rPr>
      </w:pPr>
    </w:p>
    <w:p w14:paraId="3CAD7F48" w14:textId="29CB6653" w:rsidR="008B7898" w:rsidRDefault="008B7898" w:rsidP="008B7898">
      <w:pPr>
        <w:jc w:val="center"/>
        <w:rPr>
          <w:b/>
          <w:bCs/>
        </w:rPr>
      </w:pPr>
      <w:r w:rsidRPr="00874A11">
        <w:rPr>
          <w:b/>
          <w:bCs/>
        </w:rPr>
        <w:t xml:space="preserve">Figure </w:t>
      </w:r>
      <w:r>
        <w:rPr>
          <w:b/>
          <w:bCs/>
        </w:rPr>
        <w:t>B-</w:t>
      </w:r>
      <w:r w:rsidR="00502CEA">
        <w:rPr>
          <w:b/>
          <w:bCs/>
        </w:rPr>
        <w:t>3</w:t>
      </w:r>
      <w:r w:rsidRPr="00874A11">
        <w:rPr>
          <w:b/>
          <w:bCs/>
        </w:rPr>
        <w:t xml:space="preserve">: </w:t>
      </w:r>
      <w:r w:rsidRPr="008B7898">
        <w:rPr>
          <w:b/>
          <w:bCs/>
        </w:rPr>
        <w:t>High Internal Gen</w:t>
      </w:r>
      <w:r>
        <w:rPr>
          <w:b/>
          <w:bCs/>
        </w:rPr>
        <w:t xml:space="preserve"> </w:t>
      </w:r>
      <w:r w:rsidRPr="00874A11">
        <w:rPr>
          <w:b/>
          <w:bCs/>
        </w:rPr>
        <w:t>Portfolio Perfor</w:t>
      </w:r>
      <w:r>
        <w:rPr>
          <w:b/>
          <w:bCs/>
        </w:rPr>
        <w:t>mance</w:t>
      </w:r>
      <w:r w:rsidRPr="00874A11">
        <w:rPr>
          <w:b/>
          <w:bCs/>
        </w:rPr>
        <w:t xml:space="preserve"> Under Uncertainty</w:t>
      </w:r>
    </w:p>
    <w:p w14:paraId="7C659BAC" w14:textId="4F7D5F86" w:rsidR="001B3915" w:rsidRPr="001B3915" w:rsidRDefault="008B7898" w:rsidP="001B3915">
      <w:pPr>
        <w:jc w:val="center"/>
        <w:rPr>
          <w:b/>
          <w:bCs/>
        </w:rPr>
        <w:sectPr w:rsidR="001B3915" w:rsidRPr="001B3915" w:rsidSect="0068155A">
          <w:pgSz w:w="12240" w:h="15840"/>
          <w:pgMar w:top="1440" w:right="1440" w:bottom="1440" w:left="1440" w:header="720" w:footer="720" w:gutter="0"/>
          <w:cols w:space="720"/>
          <w:docGrid w:linePitch="360"/>
        </w:sectPr>
      </w:pPr>
      <w:r>
        <w:rPr>
          <w:noProof/>
        </w:rPr>
        <w:drawing>
          <wp:inline distT="0" distB="0" distL="0" distR="0" wp14:anchorId="0CD9B4F4" wp14:editId="0F108389">
            <wp:extent cx="5215467" cy="4352352"/>
            <wp:effectExtent l="0" t="0" r="4445" b="3810"/>
            <wp:docPr id="11253235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323507" name=""/>
                    <pic:cNvPicPr/>
                  </pic:nvPicPr>
                  <pic:blipFill>
                    <a:blip r:embed="rId55"/>
                    <a:stretch>
                      <a:fillRect/>
                    </a:stretch>
                  </pic:blipFill>
                  <pic:spPr>
                    <a:xfrm>
                      <a:off x="0" y="0"/>
                      <a:ext cx="5218788" cy="4355124"/>
                    </a:xfrm>
                    <a:prstGeom prst="rect">
                      <a:avLst/>
                    </a:prstGeom>
                  </pic:spPr>
                </pic:pic>
              </a:graphicData>
            </a:graphic>
          </wp:inline>
        </w:drawing>
      </w:r>
    </w:p>
    <w:p w14:paraId="64D037B0" w14:textId="49B9F496" w:rsidR="001B3915" w:rsidRPr="00A03B3E" w:rsidRDefault="001B3915" w:rsidP="001B3915">
      <w:pPr>
        <w:pStyle w:val="Heading1"/>
        <w:shd w:val="clear" w:color="auto" w:fill="007033"/>
        <w:rPr>
          <w:color w:val="FFFFFF" w:themeColor="background1"/>
        </w:rPr>
      </w:pPr>
      <w:bookmarkStart w:id="36" w:name="_Toc153273297"/>
      <w:bookmarkStart w:id="37" w:name="_Toc153451655"/>
      <w:bookmarkStart w:id="38" w:name="_Toc153273300"/>
      <w:r>
        <w:rPr>
          <w:color w:val="FFFFFF" w:themeColor="background1"/>
        </w:rPr>
        <w:lastRenderedPageBreak/>
        <w:t>Appendix C: Additional</w:t>
      </w:r>
      <w:bookmarkEnd w:id="36"/>
      <w:r>
        <w:rPr>
          <w:color w:val="FFFFFF" w:themeColor="background1"/>
        </w:rPr>
        <w:t xml:space="preserve"> Load Forecast Methodology</w:t>
      </w:r>
      <w:bookmarkEnd w:id="37"/>
    </w:p>
    <w:p w14:paraId="22F54F14" w14:textId="77777777" w:rsidR="001B3915" w:rsidRPr="00140002" w:rsidRDefault="001B3915" w:rsidP="001B3915">
      <w:pPr>
        <w:pStyle w:val="BodyText"/>
        <w:rPr>
          <w:b/>
          <w:bCs/>
          <w:sz w:val="24"/>
          <w:szCs w:val="24"/>
        </w:rPr>
      </w:pPr>
      <w:r w:rsidRPr="00140002">
        <w:rPr>
          <w:b/>
          <w:bCs/>
          <w:sz w:val="24"/>
          <w:szCs w:val="24"/>
        </w:rPr>
        <w:t>PEV and Bass Diffusion Modeling</w:t>
      </w:r>
    </w:p>
    <w:p w14:paraId="37E77A92" w14:textId="0721068F" w:rsidR="001B3915" w:rsidRPr="00140002" w:rsidRDefault="001B3915" w:rsidP="003A3A04">
      <w:pPr>
        <w:pStyle w:val="BodyText"/>
        <w:spacing w:before="0"/>
        <w:rPr>
          <w:sz w:val="24"/>
          <w:szCs w:val="24"/>
        </w:rPr>
      </w:pPr>
      <w:r w:rsidRPr="00140002">
        <w:rPr>
          <w:sz w:val="24"/>
          <w:szCs w:val="24"/>
        </w:rPr>
        <w:t xml:space="preserve">PEV vehicle stock is forecast using a bass diffusion </w:t>
      </w:r>
      <w:r w:rsidR="002B4B1E">
        <w:rPr>
          <w:sz w:val="24"/>
          <w:szCs w:val="24"/>
        </w:rPr>
        <w:t>model</w:t>
      </w:r>
      <w:r w:rsidRPr="00140002">
        <w:rPr>
          <w:sz w:val="24"/>
          <w:szCs w:val="24"/>
        </w:rPr>
        <w:t xml:space="preserve"> </w:t>
      </w:r>
      <w:r w:rsidR="00A25320">
        <w:rPr>
          <w:sz w:val="24"/>
          <w:szCs w:val="24"/>
        </w:rPr>
        <w:t xml:space="preserve">(sometimes known as a </w:t>
      </w:r>
      <w:r w:rsidRPr="00140002">
        <w:rPr>
          <w:sz w:val="24"/>
          <w:szCs w:val="24"/>
        </w:rPr>
        <w:t>learning curve</w:t>
      </w:r>
      <w:r w:rsidR="00A25320">
        <w:rPr>
          <w:sz w:val="24"/>
          <w:szCs w:val="24"/>
        </w:rPr>
        <w:t>)</w:t>
      </w:r>
      <w:r w:rsidR="002B4B1E">
        <w:rPr>
          <w:sz w:val="24"/>
          <w:szCs w:val="24"/>
        </w:rPr>
        <w:t xml:space="preserve"> for new technologies</w:t>
      </w:r>
      <w:r w:rsidRPr="00140002">
        <w:rPr>
          <w:sz w:val="24"/>
          <w:szCs w:val="24"/>
        </w:rPr>
        <w:t xml:space="preserve"> which estimates the EV </w:t>
      </w:r>
      <w:r w:rsidR="002B4B1E">
        <w:rPr>
          <w:sz w:val="24"/>
          <w:szCs w:val="24"/>
        </w:rPr>
        <w:t>market saturation</w:t>
      </w:r>
      <w:r w:rsidRPr="00140002">
        <w:rPr>
          <w:sz w:val="24"/>
          <w:szCs w:val="24"/>
        </w:rPr>
        <w:t xml:space="preserve"> year over year by optimizing the coefficients for innovators (p) and imitators (q) to effectively reach market share targets.</w:t>
      </w:r>
      <w:r w:rsidRPr="00140002">
        <w:rPr>
          <w:rStyle w:val="FootnoteReference"/>
          <w:sz w:val="24"/>
          <w:szCs w:val="24"/>
        </w:rPr>
        <w:footnoteReference w:id="34"/>
      </w:r>
      <w:r w:rsidR="00A25320">
        <w:rPr>
          <w:sz w:val="24"/>
          <w:szCs w:val="24"/>
        </w:rPr>
        <w:t xml:space="preserve"> </w:t>
      </w:r>
      <w:r w:rsidRPr="00140002">
        <w:rPr>
          <w:sz w:val="24"/>
          <w:szCs w:val="24"/>
        </w:rPr>
        <w:t xml:space="preserve"> The innovator coefficient represents early adopters, and the imitator coefficient represents those who adopt due to observing the innovator adoptions.  These coefficients are </w:t>
      </w:r>
      <w:r w:rsidR="00A25320">
        <w:rPr>
          <w:sz w:val="24"/>
          <w:szCs w:val="24"/>
        </w:rPr>
        <w:t>determine</w:t>
      </w:r>
      <w:r w:rsidRPr="00140002">
        <w:rPr>
          <w:sz w:val="24"/>
          <w:szCs w:val="24"/>
        </w:rPr>
        <w:t xml:space="preserve"> using the current trend in vehicle stock and the expected market share.</w:t>
      </w:r>
      <w:r w:rsidRPr="00140002">
        <w:rPr>
          <w:rStyle w:val="FootnoteReference"/>
          <w:sz w:val="24"/>
          <w:szCs w:val="24"/>
        </w:rPr>
        <w:footnoteReference w:id="35"/>
      </w:r>
      <w:r w:rsidRPr="00140002">
        <w:rPr>
          <w:sz w:val="24"/>
          <w:szCs w:val="24"/>
        </w:rPr>
        <w:t xml:space="preserve">  </w:t>
      </w:r>
      <w:r w:rsidR="00A25320">
        <w:rPr>
          <w:sz w:val="24"/>
          <w:szCs w:val="24"/>
        </w:rPr>
        <w:t xml:space="preserve">Aspen optimized </w:t>
      </w:r>
      <w:r w:rsidRPr="00140002">
        <w:rPr>
          <w:sz w:val="24"/>
          <w:szCs w:val="24"/>
        </w:rPr>
        <w:t>the coefficients to minimize the sum of the squared error term given the current trend in PEV ownership vs. the predicted values for the historical period from 2018-2023.  Figure C-1 demonstrates the expected market share for residential PEVs from the model in the mid load case, with sales peaking in 2030.</w:t>
      </w:r>
      <w:r w:rsidRPr="00140002">
        <w:rPr>
          <w:rStyle w:val="FootnoteReference"/>
          <w:sz w:val="24"/>
          <w:szCs w:val="24"/>
        </w:rPr>
        <w:footnoteReference w:id="36"/>
      </w:r>
    </w:p>
    <w:p w14:paraId="465617BE" w14:textId="77777777" w:rsidR="001B3915" w:rsidRPr="00140002" w:rsidRDefault="001B3915" w:rsidP="001B3915">
      <w:pPr>
        <w:pStyle w:val="BodyText"/>
        <w:rPr>
          <w:b/>
          <w:bCs/>
          <w:sz w:val="24"/>
          <w:szCs w:val="24"/>
        </w:rPr>
      </w:pPr>
      <w:r w:rsidRPr="00140002">
        <w:rPr>
          <w:b/>
          <w:bCs/>
          <w:sz w:val="24"/>
          <w:szCs w:val="24"/>
        </w:rPr>
        <w:t>Figure C-1: Bass Diffusion Curve for Market Adoption of Residential PEVs</w:t>
      </w:r>
    </w:p>
    <w:p w14:paraId="6FD9B2A8" w14:textId="77777777" w:rsidR="001B3915" w:rsidRPr="00140002" w:rsidRDefault="001B3915" w:rsidP="001B3915">
      <w:pPr>
        <w:pStyle w:val="BodyText"/>
        <w:rPr>
          <w:sz w:val="24"/>
          <w:szCs w:val="24"/>
        </w:rPr>
      </w:pPr>
      <w:r w:rsidRPr="00140002">
        <w:rPr>
          <w:noProof/>
          <w:sz w:val="24"/>
          <w:szCs w:val="24"/>
        </w:rPr>
        <w:drawing>
          <wp:inline distT="0" distB="0" distL="0" distR="0" wp14:anchorId="7797B18B" wp14:editId="118315A3">
            <wp:extent cx="4210334" cy="2530866"/>
            <wp:effectExtent l="0" t="0" r="0" b="3175"/>
            <wp:docPr id="1202839282" name="Picture 1" descr="A graph with a line going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839282" name="Picture 1" descr="A graph with a line going up&#10;&#10;Description automatically generated"/>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231836" cy="2543791"/>
                    </a:xfrm>
                    <a:prstGeom prst="rect">
                      <a:avLst/>
                    </a:prstGeom>
                    <a:noFill/>
                  </pic:spPr>
                </pic:pic>
              </a:graphicData>
            </a:graphic>
          </wp:inline>
        </w:drawing>
      </w:r>
    </w:p>
    <w:p w14:paraId="0DA7C0AF" w14:textId="77777777" w:rsidR="001B3915" w:rsidRPr="00140002" w:rsidRDefault="001B3915" w:rsidP="001B3915">
      <w:pPr>
        <w:pStyle w:val="BodyText"/>
        <w:rPr>
          <w:sz w:val="24"/>
          <w:szCs w:val="24"/>
        </w:rPr>
      </w:pPr>
      <w:r w:rsidRPr="00140002">
        <w:rPr>
          <w:sz w:val="24"/>
          <w:szCs w:val="24"/>
        </w:rPr>
        <w:t>The PEV stock is multiplied by NREL’s hourly charging profile to calculate the total load requirement for residential charging.</w:t>
      </w:r>
      <w:r w:rsidRPr="00140002">
        <w:rPr>
          <w:rStyle w:val="FootnoteReference"/>
          <w:sz w:val="24"/>
          <w:szCs w:val="24"/>
        </w:rPr>
        <w:footnoteReference w:id="37"/>
      </w:r>
    </w:p>
    <w:p w14:paraId="14279C85" w14:textId="44C0C471" w:rsidR="001B3915" w:rsidRPr="00140002" w:rsidRDefault="001B3915" w:rsidP="001B3915">
      <w:pPr>
        <w:pStyle w:val="BodyText"/>
        <w:keepNext/>
        <w:rPr>
          <w:b/>
          <w:bCs/>
          <w:sz w:val="24"/>
          <w:szCs w:val="24"/>
        </w:rPr>
      </w:pPr>
      <w:r w:rsidRPr="00140002">
        <w:rPr>
          <w:b/>
          <w:bCs/>
          <w:sz w:val="24"/>
          <w:szCs w:val="24"/>
        </w:rPr>
        <w:lastRenderedPageBreak/>
        <w:t>Energy Efficiency and Electrification Costs</w:t>
      </w:r>
    </w:p>
    <w:p w14:paraId="6911E4BF" w14:textId="2214D9DE" w:rsidR="001B3915" w:rsidRPr="00140002" w:rsidRDefault="001B3915" w:rsidP="003A3A04">
      <w:pPr>
        <w:pStyle w:val="BodyText"/>
        <w:spacing w:before="0"/>
        <w:rPr>
          <w:sz w:val="24"/>
          <w:szCs w:val="24"/>
        </w:rPr>
      </w:pPr>
      <w:r w:rsidRPr="00140002">
        <w:rPr>
          <w:sz w:val="24"/>
          <w:szCs w:val="24"/>
        </w:rPr>
        <w:t xml:space="preserve">Generally, EE costs are estimated using reported $/kWh estimates for TDPUD programs in the past.  The cost factor </w:t>
      </w:r>
      <w:r w:rsidR="004F51E9" w:rsidRPr="00140002">
        <w:rPr>
          <w:sz w:val="24"/>
          <w:szCs w:val="24"/>
        </w:rPr>
        <w:t>escalates</w:t>
      </w:r>
      <w:r w:rsidRPr="00140002">
        <w:rPr>
          <w:sz w:val="24"/>
          <w:szCs w:val="24"/>
        </w:rPr>
        <w:t xml:space="preserve"> over time with diminishing returns for each dollar spent on EE as savings become more costly in future years.  The $/kWh cost also includes the present value of future savings from program dollars spent in each year.  In the low load case, EE cost is assumed to be </w:t>
      </w:r>
      <w:r w:rsidR="002B4B1E">
        <w:rPr>
          <w:sz w:val="24"/>
          <w:szCs w:val="24"/>
        </w:rPr>
        <w:t>cheaper</w:t>
      </w:r>
      <w:r w:rsidRPr="00140002">
        <w:rPr>
          <w:sz w:val="24"/>
          <w:szCs w:val="24"/>
        </w:rPr>
        <w:t xml:space="preserve"> as new programs capture EE potential savings benefits and EE paired with electrification.</w:t>
      </w:r>
      <w:r w:rsidR="00872327" w:rsidRPr="00140002">
        <w:rPr>
          <w:sz w:val="24"/>
          <w:szCs w:val="24"/>
        </w:rPr>
        <w:t xml:space="preserve">  Electrification spending is sourced from Truckee’s 2022 program results on an average $/kWh added basis.  These costs could decline as technology improves for electric space heating and Truckee’s </w:t>
      </w:r>
      <w:r w:rsidR="002B4B1E">
        <w:rPr>
          <w:sz w:val="24"/>
          <w:szCs w:val="24"/>
        </w:rPr>
        <w:t xml:space="preserve">building </w:t>
      </w:r>
      <w:r w:rsidR="00872327" w:rsidRPr="00140002">
        <w:rPr>
          <w:sz w:val="24"/>
          <w:szCs w:val="24"/>
        </w:rPr>
        <w:t>electrification programs mature.  Figure C-2 displays spending results for each of the load forecast scenarios as well as the additional Efficient Electrification scenario.</w:t>
      </w:r>
    </w:p>
    <w:p w14:paraId="64145097" w14:textId="70D2D821" w:rsidR="00872327" w:rsidRPr="00140002" w:rsidRDefault="00872327" w:rsidP="001B3915">
      <w:pPr>
        <w:pStyle w:val="BodyText"/>
        <w:rPr>
          <w:b/>
          <w:bCs/>
          <w:sz w:val="24"/>
          <w:szCs w:val="24"/>
        </w:rPr>
      </w:pPr>
      <w:r w:rsidRPr="00140002">
        <w:rPr>
          <w:b/>
          <w:bCs/>
          <w:sz w:val="24"/>
          <w:szCs w:val="24"/>
        </w:rPr>
        <w:t>Figure C-2: Energy Efficiency and Electrification Spending by Load Forecast Scenario</w:t>
      </w:r>
    </w:p>
    <w:p w14:paraId="6B276218" w14:textId="352B0109" w:rsidR="00E665ED" w:rsidRPr="00140002" w:rsidRDefault="00872327" w:rsidP="001B3915">
      <w:pPr>
        <w:pStyle w:val="BodyText"/>
        <w:rPr>
          <w:sz w:val="24"/>
          <w:szCs w:val="24"/>
        </w:rPr>
      </w:pPr>
      <w:r w:rsidRPr="00140002">
        <w:rPr>
          <w:noProof/>
          <w:sz w:val="24"/>
          <w:szCs w:val="24"/>
        </w:rPr>
        <w:drawing>
          <wp:inline distT="0" distB="0" distL="0" distR="0" wp14:anchorId="5C7C800F" wp14:editId="3111D741">
            <wp:extent cx="4899546" cy="3680119"/>
            <wp:effectExtent l="0" t="0" r="0" b="0"/>
            <wp:docPr id="18345439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916817" cy="3693091"/>
                    </a:xfrm>
                    <a:prstGeom prst="rect">
                      <a:avLst/>
                    </a:prstGeom>
                    <a:noFill/>
                  </pic:spPr>
                </pic:pic>
              </a:graphicData>
            </a:graphic>
          </wp:inline>
        </w:drawing>
      </w:r>
    </w:p>
    <w:p w14:paraId="093A69D9" w14:textId="3F97476D" w:rsidR="00140002" w:rsidRPr="00140002" w:rsidRDefault="00140002" w:rsidP="00140002">
      <w:pPr>
        <w:spacing w:after="200" w:line="276" w:lineRule="auto"/>
        <w:rPr>
          <w:rFonts w:ascii="Calibri" w:hAnsi="Calibri" w:cs="Calibri"/>
          <w:sz w:val="22"/>
          <w:szCs w:val="22"/>
        </w:rPr>
      </w:pPr>
      <w:r>
        <w:br w:type="page"/>
      </w:r>
    </w:p>
    <w:p w14:paraId="7645E0B9" w14:textId="191B1FA4" w:rsidR="00836120" w:rsidRPr="00E8355E" w:rsidRDefault="00836120" w:rsidP="00836120">
      <w:pPr>
        <w:pStyle w:val="Heading1"/>
        <w:shd w:val="clear" w:color="auto" w:fill="007033"/>
        <w:rPr>
          <w:color w:val="FFFFFF" w:themeColor="background1"/>
        </w:rPr>
      </w:pPr>
      <w:bookmarkStart w:id="39" w:name="_Toc153451656"/>
      <w:r>
        <w:rPr>
          <w:color w:val="FFFFFF" w:themeColor="background1"/>
        </w:rPr>
        <w:lastRenderedPageBreak/>
        <w:t xml:space="preserve">Appendix </w:t>
      </w:r>
      <w:r w:rsidR="00541961">
        <w:rPr>
          <w:color w:val="FFFFFF" w:themeColor="background1"/>
        </w:rPr>
        <w:t>D</w:t>
      </w:r>
      <w:r>
        <w:rPr>
          <w:color w:val="FFFFFF" w:themeColor="background1"/>
        </w:rPr>
        <w:t xml:space="preserve">: </w:t>
      </w:r>
      <w:r w:rsidR="002B4B1E">
        <w:rPr>
          <w:color w:val="FFFFFF" w:themeColor="background1"/>
        </w:rPr>
        <w:t>Exploratory</w:t>
      </w:r>
      <w:r>
        <w:rPr>
          <w:color w:val="FFFFFF" w:themeColor="background1"/>
        </w:rPr>
        <w:t xml:space="preserve"> Load Scenarios</w:t>
      </w:r>
      <w:bookmarkEnd w:id="38"/>
      <w:bookmarkEnd w:id="39"/>
    </w:p>
    <w:p w14:paraId="1ECAE1F8" w14:textId="6CB2EBDB" w:rsidR="00836120" w:rsidRPr="00140002" w:rsidRDefault="000A1ADB" w:rsidP="00A21E6F">
      <w:pPr>
        <w:spacing w:before="120"/>
      </w:pPr>
      <w:r w:rsidRPr="00140002">
        <w:t xml:space="preserve">This appendix contains three additional load scenarios, capturing the impacts of </w:t>
      </w:r>
      <w:proofErr w:type="spellStart"/>
      <w:r w:rsidRPr="00140002">
        <w:t>i</w:t>
      </w:r>
      <w:proofErr w:type="spellEnd"/>
      <w:r w:rsidRPr="00140002">
        <w:t>) Heavy duty truck charging; ii) 100% residential PEV charging; and iii) Efficient Electrification.</w:t>
      </w:r>
      <w:r w:rsidR="001C1ACD" w:rsidRPr="00140002">
        <w:t xml:space="preserve">  Table D-1 provides summary results for each exploratory scenario</w:t>
      </w:r>
      <w:r w:rsidR="00A25320">
        <w:t xml:space="preserve">; the table repeats the </w:t>
      </w:r>
      <w:r w:rsidR="003465AC">
        <w:t>M</w:t>
      </w:r>
      <w:r w:rsidR="00872327" w:rsidRPr="00140002">
        <w:t xml:space="preserve">id </w:t>
      </w:r>
      <w:r w:rsidR="003465AC">
        <w:t xml:space="preserve">case </w:t>
      </w:r>
      <w:r w:rsidR="00872327" w:rsidRPr="00140002">
        <w:t>load forecast</w:t>
      </w:r>
      <w:r w:rsidR="00A25320">
        <w:t xml:space="preserve"> for ease of comparison</w:t>
      </w:r>
      <w:r w:rsidR="001C1ACD" w:rsidRPr="00140002">
        <w:t>.</w:t>
      </w:r>
      <w:r w:rsidR="003465AC">
        <w:t xml:space="preserve">  Assumptions not specified are the same as in the Mid case.</w:t>
      </w:r>
    </w:p>
    <w:p w14:paraId="61F68B46" w14:textId="79F37DB9" w:rsidR="001C1ACD" w:rsidRPr="00140002" w:rsidRDefault="00EE61B5" w:rsidP="00EE61B5">
      <w:pPr>
        <w:keepNext/>
        <w:spacing w:before="120"/>
        <w:rPr>
          <w:b/>
          <w:bCs/>
        </w:rPr>
      </w:pPr>
      <w:r w:rsidRPr="00140002">
        <w:rPr>
          <w:b/>
          <w:bCs/>
        </w:rPr>
        <w:t>Table D-1: Exploratory Load Forecast Scenario Descriptions</w:t>
      </w:r>
    </w:p>
    <w:p w14:paraId="0FFE0C1A" w14:textId="310FDDFA" w:rsidR="001C1ACD" w:rsidRPr="00140002" w:rsidRDefault="00EE61B5" w:rsidP="00A21E6F">
      <w:pPr>
        <w:spacing w:before="120"/>
      </w:pPr>
      <w:r w:rsidRPr="00140002">
        <w:rPr>
          <w:noProof/>
        </w:rPr>
        <w:drawing>
          <wp:inline distT="0" distB="0" distL="0" distR="0" wp14:anchorId="1B05AAFA" wp14:editId="6C1FE9AD">
            <wp:extent cx="5943600" cy="3209290"/>
            <wp:effectExtent l="0" t="0" r="0" b="0"/>
            <wp:docPr id="11511920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3600" cy="3209290"/>
                    </a:xfrm>
                    <a:prstGeom prst="rect">
                      <a:avLst/>
                    </a:prstGeom>
                    <a:noFill/>
                    <a:ln>
                      <a:noFill/>
                    </a:ln>
                  </pic:spPr>
                </pic:pic>
              </a:graphicData>
            </a:graphic>
          </wp:inline>
        </w:drawing>
      </w:r>
    </w:p>
    <w:p w14:paraId="022AA591" w14:textId="3E068865" w:rsidR="001C1ACD" w:rsidRPr="00140002" w:rsidRDefault="004F51E9" w:rsidP="00A21E6F">
      <w:pPr>
        <w:spacing w:before="120"/>
        <w:rPr>
          <w:b/>
          <w:bCs/>
        </w:rPr>
      </w:pPr>
      <w:r w:rsidRPr="00140002">
        <w:rPr>
          <w:b/>
          <w:bCs/>
        </w:rPr>
        <w:t>Additional Details of HD</w:t>
      </w:r>
      <w:r w:rsidR="001C1ACD" w:rsidRPr="00140002">
        <w:rPr>
          <w:b/>
          <w:bCs/>
        </w:rPr>
        <w:t xml:space="preserve"> Truck Charging</w:t>
      </w:r>
    </w:p>
    <w:p w14:paraId="36624A73" w14:textId="3859BAC8" w:rsidR="00FF18F8" w:rsidRPr="00140002" w:rsidRDefault="00CE40CD" w:rsidP="003A3A04">
      <w:pPr>
        <w:jc w:val="both"/>
        <w:rPr>
          <w:color w:val="000000" w:themeColor="text1"/>
        </w:rPr>
      </w:pPr>
      <w:r w:rsidRPr="00140002">
        <w:t>Aspen looked at potential volume of trucks moving through the Truckee corridor however, the volume of truck traffic likely exceeds the capacity and space requireme</w:t>
      </w:r>
      <w:r w:rsidR="002B4B1E">
        <w:t>nt needed to charge all of the trucks passing through</w:t>
      </w:r>
      <w:r w:rsidRPr="00140002">
        <w:t>.</w:t>
      </w:r>
      <w:r w:rsidR="00EE61B5" w:rsidRPr="00140002">
        <w:rPr>
          <w:rStyle w:val="FootnoteReference"/>
        </w:rPr>
        <w:footnoteReference w:id="38"/>
      </w:r>
      <w:r w:rsidRPr="00140002">
        <w:t xml:space="preserve">  Charging one of these tractor-trailers takes 1-2 hours and uses approximately 1 MW each hour.</w:t>
      </w:r>
      <w:r w:rsidR="002B44AF" w:rsidRPr="00140002">
        <w:rPr>
          <w:rStyle w:val="FootnoteReference"/>
        </w:rPr>
        <w:footnoteReference w:id="39"/>
      </w:r>
      <w:r w:rsidRPr="00140002">
        <w:t xml:space="preserve">  This scenario assumes 4-6 MW worth of chargers operating </w:t>
      </w:r>
      <w:r w:rsidR="002B4B1E">
        <w:t>concurrently</w:t>
      </w:r>
      <w:r w:rsidR="002B44AF" w:rsidRPr="00140002">
        <w:t xml:space="preserve"> which</w:t>
      </w:r>
      <w:r w:rsidRPr="00140002">
        <w:t xml:space="preserve"> accommodate</w:t>
      </w:r>
      <w:r w:rsidR="002B44AF" w:rsidRPr="00140002">
        <w:t>s</w:t>
      </w:r>
      <w:r w:rsidRPr="00140002">
        <w:t xml:space="preserve"> </w:t>
      </w:r>
      <w:r w:rsidR="00EE61B5" w:rsidRPr="00140002">
        <w:t>10</w:t>
      </w:r>
      <w:r w:rsidRPr="00140002">
        <w:t>0 to 1</w:t>
      </w:r>
      <w:r w:rsidR="00EE61B5" w:rsidRPr="00140002">
        <w:t>5</w:t>
      </w:r>
      <w:r w:rsidRPr="00140002">
        <w:t>0 trucks per day.</w:t>
      </w:r>
      <w:r w:rsidR="002B44AF" w:rsidRPr="00140002">
        <w:rPr>
          <w:color w:val="000000" w:themeColor="text1"/>
        </w:rPr>
        <w:t xml:space="preserve">  </w:t>
      </w:r>
      <w:r w:rsidR="004F51E9" w:rsidRPr="00140002">
        <w:rPr>
          <w:color w:val="000000" w:themeColor="text1"/>
        </w:rPr>
        <w:t xml:space="preserve">Locating space for these trucks to stop and charge and the overall infrastructure cost for Truckee requires further study.  Other concerns include decreased efficiency of batteries in cold weather and the accelerated deterioration of highway roads due to the increased average truck weight due to </w:t>
      </w:r>
      <w:r w:rsidR="002B4B1E">
        <w:rPr>
          <w:color w:val="000000" w:themeColor="text1"/>
        </w:rPr>
        <w:t xml:space="preserve">the </w:t>
      </w:r>
      <w:r w:rsidR="004F51E9" w:rsidRPr="00140002">
        <w:rPr>
          <w:color w:val="000000" w:themeColor="text1"/>
        </w:rPr>
        <w:t>heavy batteries on board.</w:t>
      </w:r>
      <w:r w:rsidR="004F51E9" w:rsidRPr="00140002">
        <w:rPr>
          <w:rStyle w:val="FootnoteReference"/>
          <w:color w:val="000000" w:themeColor="text1"/>
        </w:rPr>
        <w:footnoteReference w:id="40"/>
      </w:r>
    </w:p>
    <w:p w14:paraId="4E94DEC0" w14:textId="21F7B6FA" w:rsidR="004F51E9" w:rsidRPr="00E92AED" w:rsidRDefault="004F51E9" w:rsidP="00E92AED">
      <w:pPr>
        <w:pStyle w:val="Heading1"/>
        <w:shd w:val="clear" w:color="auto" w:fill="007033"/>
        <w:spacing w:after="120"/>
        <w:rPr>
          <w:color w:val="FFFFFF" w:themeColor="background1"/>
        </w:rPr>
      </w:pPr>
      <w:bookmarkStart w:id="40" w:name="_Toc153451657"/>
      <w:r>
        <w:rPr>
          <w:color w:val="FFFFFF" w:themeColor="background1"/>
        </w:rPr>
        <w:lastRenderedPageBreak/>
        <w:t>Appendix E: Acronym List</w:t>
      </w:r>
      <w:bookmarkEnd w:id="40"/>
    </w:p>
    <w:tbl>
      <w:tblPr>
        <w:tblStyle w:val="TableGrid"/>
        <w:tblW w:w="0" w:type="auto"/>
        <w:tblLook w:val="04A0" w:firstRow="1" w:lastRow="0" w:firstColumn="1" w:lastColumn="0" w:noHBand="0" w:noVBand="1"/>
      </w:tblPr>
      <w:tblGrid>
        <w:gridCol w:w="4315"/>
        <w:gridCol w:w="5035"/>
      </w:tblGrid>
      <w:tr w:rsidR="00FF18F8" w14:paraId="65B964B3" w14:textId="77777777" w:rsidTr="00E92AED">
        <w:tc>
          <w:tcPr>
            <w:tcW w:w="4315" w:type="dxa"/>
            <w:vAlign w:val="center"/>
          </w:tcPr>
          <w:p w14:paraId="6046B309" w14:textId="0B5D1818" w:rsidR="00FF18F8" w:rsidRPr="00E92AED" w:rsidRDefault="00FF18F8" w:rsidP="00E92AED">
            <w:pPr>
              <w:rPr>
                <w:rFonts w:cstheme="minorHAnsi"/>
                <w:color w:val="000000" w:themeColor="text1"/>
              </w:rPr>
            </w:pPr>
            <w:r w:rsidRPr="00E92AED">
              <w:rPr>
                <w:rFonts w:cstheme="minorHAnsi"/>
                <w:color w:val="000000" w:themeColor="text1"/>
              </w:rPr>
              <w:t>AMI</w:t>
            </w:r>
          </w:p>
        </w:tc>
        <w:tc>
          <w:tcPr>
            <w:tcW w:w="5035" w:type="dxa"/>
            <w:vAlign w:val="center"/>
          </w:tcPr>
          <w:p w14:paraId="134F5696" w14:textId="1CDC7ACE" w:rsidR="00FF18F8" w:rsidRPr="00E92AED" w:rsidRDefault="00E92AED" w:rsidP="00E92AED">
            <w:pPr>
              <w:rPr>
                <w:rFonts w:cstheme="minorHAnsi"/>
                <w:color w:val="000000" w:themeColor="text1"/>
              </w:rPr>
            </w:pPr>
            <w:r w:rsidRPr="00E92AED">
              <w:rPr>
                <w:rFonts w:cstheme="minorHAnsi"/>
              </w:rPr>
              <w:t>Advanced Metering Infrastructure</w:t>
            </w:r>
          </w:p>
        </w:tc>
      </w:tr>
      <w:tr w:rsidR="00FF18F8" w14:paraId="0CA3B3C7" w14:textId="77777777" w:rsidTr="00E92AED">
        <w:tc>
          <w:tcPr>
            <w:tcW w:w="4315" w:type="dxa"/>
            <w:vAlign w:val="center"/>
          </w:tcPr>
          <w:p w14:paraId="14590750" w14:textId="2AD9DE12" w:rsidR="00FF18F8" w:rsidRPr="00E92AED" w:rsidRDefault="00FF18F8" w:rsidP="00E92AED">
            <w:pPr>
              <w:rPr>
                <w:rFonts w:cstheme="minorHAnsi"/>
                <w:color w:val="000000" w:themeColor="text1"/>
              </w:rPr>
            </w:pPr>
            <w:r w:rsidRPr="00E92AED">
              <w:rPr>
                <w:rFonts w:cstheme="minorHAnsi"/>
                <w:color w:val="000000" w:themeColor="text1"/>
              </w:rPr>
              <w:t>BAA</w:t>
            </w:r>
          </w:p>
        </w:tc>
        <w:tc>
          <w:tcPr>
            <w:tcW w:w="5035" w:type="dxa"/>
            <w:vAlign w:val="center"/>
          </w:tcPr>
          <w:p w14:paraId="367A4B33" w14:textId="46B1C580" w:rsidR="00FF18F8" w:rsidRPr="00E92AED" w:rsidRDefault="00E92AED" w:rsidP="00E92AED">
            <w:pPr>
              <w:rPr>
                <w:rFonts w:cstheme="minorHAnsi"/>
                <w:color w:val="000000" w:themeColor="text1"/>
              </w:rPr>
            </w:pPr>
            <w:r w:rsidRPr="00E92AED">
              <w:rPr>
                <w:rFonts w:cstheme="minorHAnsi"/>
              </w:rPr>
              <w:t>Balancing Authority Area</w:t>
            </w:r>
          </w:p>
        </w:tc>
      </w:tr>
      <w:tr w:rsidR="00FF18F8" w14:paraId="57A3448E" w14:textId="77777777" w:rsidTr="00E92AED">
        <w:tc>
          <w:tcPr>
            <w:tcW w:w="4315" w:type="dxa"/>
            <w:vAlign w:val="center"/>
          </w:tcPr>
          <w:p w14:paraId="7F34A15F" w14:textId="689926A9" w:rsidR="00FF18F8" w:rsidRPr="00E92AED" w:rsidRDefault="00FF18F8" w:rsidP="00E92AED">
            <w:pPr>
              <w:rPr>
                <w:rFonts w:cstheme="minorHAnsi"/>
                <w:color w:val="000000" w:themeColor="text1"/>
              </w:rPr>
            </w:pPr>
            <w:r w:rsidRPr="00E92AED">
              <w:rPr>
                <w:rFonts w:cstheme="minorHAnsi"/>
                <w:color w:val="000000" w:themeColor="text1"/>
              </w:rPr>
              <w:t>BTM</w:t>
            </w:r>
          </w:p>
        </w:tc>
        <w:tc>
          <w:tcPr>
            <w:tcW w:w="5035" w:type="dxa"/>
            <w:vAlign w:val="center"/>
          </w:tcPr>
          <w:p w14:paraId="211FAFAD" w14:textId="18EEF200" w:rsidR="00FF18F8" w:rsidRPr="00E92AED" w:rsidRDefault="00E92AED" w:rsidP="00E92AED">
            <w:pPr>
              <w:rPr>
                <w:rFonts w:cstheme="minorHAnsi"/>
                <w:color w:val="000000" w:themeColor="text1"/>
              </w:rPr>
            </w:pPr>
            <w:r w:rsidRPr="00E92AED">
              <w:rPr>
                <w:rFonts w:cstheme="minorHAnsi"/>
              </w:rPr>
              <w:t>Behind-the-Meter</w:t>
            </w:r>
          </w:p>
        </w:tc>
      </w:tr>
      <w:tr w:rsidR="00FF18F8" w14:paraId="346F22DC" w14:textId="77777777" w:rsidTr="00E92AED">
        <w:tc>
          <w:tcPr>
            <w:tcW w:w="4315" w:type="dxa"/>
            <w:vAlign w:val="center"/>
          </w:tcPr>
          <w:p w14:paraId="2D89EB15" w14:textId="45BC3B7B" w:rsidR="00FF18F8" w:rsidRPr="00E92AED" w:rsidRDefault="00FF18F8" w:rsidP="00E92AED">
            <w:pPr>
              <w:rPr>
                <w:rFonts w:cstheme="minorHAnsi"/>
                <w:color w:val="000000" w:themeColor="text1"/>
              </w:rPr>
            </w:pPr>
            <w:r w:rsidRPr="00E92AED">
              <w:rPr>
                <w:rFonts w:cstheme="minorHAnsi"/>
                <w:color w:val="000000" w:themeColor="text1"/>
              </w:rPr>
              <w:t>CAISO</w:t>
            </w:r>
          </w:p>
        </w:tc>
        <w:tc>
          <w:tcPr>
            <w:tcW w:w="5035" w:type="dxa"/>
            <w:vAlign w:val="center"/>
          </w:tcPr>
          <w:p w14:paraId="1F0C42E6" w14:textId="181E3BA1" w:rsidR="00FF18F8" w:rsidRPr="00E92AED" w:rsidRDefault="00E92AED" w:rsidP="00E92AED">
            <w:pPr>
              <w:rPr>
                <w:rFonts w:cstheme="minorHAnsi"/>
                <w:color w:val="000000" w:themeColor="text1"/>
              </w:rPr>
            </w:pPr>
            <w:r w:rsidRPr="00E92AED">
              <w:rPr>
                <w:rFonts w:cstheme="minorHAnsi"/>
              </w:rPr>
              <w:t>California ISO</w:t>
            </w:r>
          </w:p>
        </w:tc>
      </w:tr>
      <w:tr w:rsidR="00FF18F8" w14:paraId="373A1EE1" w14:textId="77777777" w:rsidTr="00E92AED">
        <w:tc>
          <w:tcPr>
            <w:tcW w:w="4315" w:type="dxa"/>
            <w:vAlign w:val="center"/>
          </w:tcPr>
          <w:p w14:paraId="26991955" w14:textId="3EDA3E29" w:rsidR="00FF18F8" w:rsidRPr="00E92AED" w:rsidRDefault="00FF18F8" w:rsidP="00E92AED">
            <w:pPr>
              <w:rPr>
                <w:rFonts w:cstheme="minorHAnsi"/>
                <w:color w:val="000000" w:themeColor="text1"/>
              </w:rPr>
            </w:pPr>
            <w:r w:rsidRPr="00E92AED">
              <w:rPr>
                <w:rFonts w:cstheme="minorHAnsi"/>
                <w:color w:val="000000" w:themeColor="text1"/>
              </w:rPr>
              <w:t>CEC</w:t>
            </w:r>
          </w:p>
        </w:tc>
        <w:tc>
          <w:tcPr>
            <w:tcW w:w="5035" w:type="dxa"/>
            <w:vAlign w:val="center"/>
          </w:tcPr>
          <w:p w14:paraId="5A6D8953" w14:textId="00622BB0" w:rsidR="00FF18F8" w:rsidRPr="00E92AED" w:rsidRDefault="00E92AED" w:rsidP="00E92AED">
            <w:pPr>
              <w:rPr>
                <w:rFonts w:cstheme="minorHAnsi"/>
                <w:color w:val="000000" w:themeColor="text1"/>
              </w:rPr>
            </w:pPr>
            <w:r w:rsidRPr="00E92AED">
              <w:rPr>
                <w:rFonts w:cstheme="minorHAnsi"/>
              </w:rPr>
              <w:t>California Energy Commission</w:t>
            </w:r>
          </w:p>
        </w:tc>
      </w:tr>
      <w:tr w:rsidR="00FF18F8" w14:paraId="4492618C" w14:textId="77777777" w:rsidTr="00E92AED">
        <w:tc>
          <w:tcPr>
            <w:tcW w:w="4315" w:type="dxa"/>
            <w:vAlign w:val="center"/>
          </w:tcPr>
          <w:p w14:paraId="4BBF5C87" w14:textId="19578797" w:rsidR="00FF18F8" w:rsidRPr="00E92AED" w:rsidRDefault="00FF18F8" w:rsidP="00E92AED">
            <w:pPr>
              <w:rPr>
                <w:rFonts w:cstheme="minorHAnsi"/>
                <w:color w:val="000000" w:themeColor="text1"/>
              </w:rPr>
            </w:pPr>
            <w:r w:rsidRPr="00E92AED">
              <w:rPr>
                <w:rFonts w:cstheme="minorHAnsi"/>
                <w:color w:val="000000" w:themeColor="text1"/>
              </w:rPr>
              <w:t>CFPP</w:t>
            </w:r>
          </w:p>
        </w:tc>
        <w:tc>
          <w:tcPr>
            <w:tcW w:w="5035" w:type="dxa"/>
            <w:vAlign w:val="center"/>
          </w:tcPr>
          <w:p w14:paraId="074D8921" w14:textId="54C6672E" w:rsidR="00FF18F8" w:rsidRPr="00E92AED" w:rsidRDefault="00E92AED" w:rsidP="00E92AED">
            <w:pPr>
              <w:rPr>
                <w:rFonts w:cstheme="minorHAnsi"/>
                <w:color w:val="000000" w:themeColor="text1"/>
              </w:rPr>
            </w:pPr>
            <w:r w:rsidRPr="00E92AED">
              <w:rPr>
                <w:rFonts w:cstheme="minorHAnsi"/>
              </w:rPr>
              <w:t>Carbon Free Power Project</w:t>
            </w:r>
          </w:p>
        </w:tc>
      </w:tr>
      <w:tr w:rsidR="00FF18F8" w14:paraId="50243DF6" w14:textId="77777777" w:rsidTr="00E92AED">
        <w:tc>
          <w:tcPr>
            <w:tcW w:w="4315" w:type="dxa"/>
            <w:vAlign w:val="center"/>
          </w:tcPr>
          <w:p w14:paraId="48975404" w14:textId="0DDDC725" w:rsidR="00FF18F8" w:rsidRPr="00E92AED" w:rsidRDefault="00FF18F8" w:rsidP="00E92AED">
            <w:pPr>
              <w:rPr>
                <w:rFonts w:cstheme="minorHAnsi"/>
                <w:color w:val="000000" w:themeColor="text1"/>
              </w:rPr>
            </w:pPr>
            <w:r w:rsidRPr="00E92AED">
              <w:rPr>
                <w:rFonts w:cstheme="minorHAnsi"/>
                <w:color w:val="000000" w:themeColor="text1"/>
              </w:rPr>
              <w:t>CMUA</w:t>
            </w:r>
          </w:p>
        </w:tc>
        <w:tc>
          <w:tcPr>
            <w:tcW w:w="5035" w:type="dxa"/>
            <w:vAlign w:val="center"/>
          </w:tcPr>
          <w:p w14:paraId="707EEBAD" w14:textId="3732402E" w:rsidR="00FF18F8" w:rsidRPr="00E92AED" w:rsidRDefault="00E92AED" w:rsidP="00E92AED">
            <w:pPr>
              <w:rPr>
                <w:rFonts w:cstheme="minorHAnsi"/>
                <w:color w:val="000000" w:themeColor="text1"/>
              </w:rPr>
            </w:pPr>
            <w:r w:rsidRPr="00E92AED">
              <w:rPr>
                <w:rFonts w:cstheme="minorHAnsi"/>
              </w:rPr>
              <w:t>California Municipal Utilities Association</w:t>
            </w:r>
          </w:p>
        </w:tc>
      </w:tr>
      <w:tr w:rsidR="00FF18F8" w14:paraId="019A8F3C" w14:textId="77777777" w:rsidTr="00E92AED">
        <w:tc>
          <w:tcPr>
            <w:tcW w:w="4315" w:type="dxa"/>
            <w:vAlign w:val="center"/>
          </w:tcPr>
          <w:p w14:paraId="3A64D2E8" w14:textId="17743016" w:rsidR="00FF18F8" w:rsidRPr="00E92AED" w:rsidRDefault="00FF18F8" w:rsidP="00E92AED">
            <w:pPr>
              <w:rPr>
                <w:rFonts w:cstheme="minorHAnsi"/>
                <w:color w:val="000000" w:themeColor="text1"/>
              </w:rPr>
            </w:pPr>
            <w:r w:rsidRPr="00E92AED">
              <w:rPr>
                <w:rFonts w:cstheme="minorHAnsi"/>
                <w:color w:val="000000" w:themeColor="text1"/>
              </w:rPr>
              <w:t>CVP</w:t>
            </w:r>
          </w:p>
        </w:tc>
        <w:tc>
          <w:tcPr>
            <w:tcW w:w="5035" w:type="dxa"/>
            <w:vAlign w:val="center"/>
          </w:tcPr>
          <w:p w14:paraId="48FBDEAE" w14:textId="255DA538" w:rsidR="00FF18F8" w:rsidRPr="00E92AED" w:rsidRDefault="00E92AED" w:rsidP="00E92AED">
            <w:pPr>
              <w:rPr>
                <w:rFonts w:cstheme="minorHAnsi"/>
                <w:color w:val="000000" w:themeColor="text1"/>
              </w:rPr>
            </w:pPr>
            <w:r w:rsidRPr="00E92AED">
              <w:rPr>
                <w:rFonts w:cstheme="minorHAnsi"/>
              </w:rPr>
              <w:t>Central Valley Project</w:t>
            </w:r>
          </w:p>
        </w:tc>
      </w:tr>
      <w:tr w:rsidR="00FF18F8" w14:paraId="7C81F66C" w14:textId="77777777" w:rsidTr="00E92AED">
        <w:tc>
          <w:tcPr>
            <w:tcW w:w="4315" w:type="dxa"/>
            <w:vAlign w:val="center"/>
          </w:tcPr>
          <w:p w14:paraId="6008B77B" w14:textId="5340EB71" w:rsidR="00FF18F8" w:rsidRPr="00E92AED" w:rsidRDefault="00FF18F8" w:rsidP="00E92AED">
            <w:pPr>
              <w:rPr>
                <w:rFonts w:cstheme="minorHAnsi"/>
                <w:color w:val="000000" w:themeColor="text1"/>
              </w:rPr>
            </w:pPr>
            <w:r w:rsidRPr="00E92AED">
              <w:rPr>
                <w:rFonts w:cstheme="minorHAnsi"/>
                <w:color w:val="000000" w:themeColor="text1"/>
              </w:rPr>
              <w:t>EE</w:t>
            </w:r>
          </w:p>
        </w:tc>
        <w:tc>
          <w:tcPr>
            <w:tcW w:w="5035" w:type="dxa"/>
            <w:vAlign w:val="center"/>
          </w:tcPr>
          <w:p w14:paraId="4973DA13" w14:textId="37B68491" w:rsidR="00FF18F8" w:rsidRPr="00E92AED" w:rsidRDefault="00E92AED" w:rsidP="00E92AED">
            <w:pPr>
              <w:rPr>
                <w:rFonts w:cstheme="minorHAnsi"/>
                <w:color w:val="000000" w:themeColor="text1"/>
              </w:rPr>
            </w:pPr>
            <w:r w:rsidRPr="00E92AED">
              <w:rPr>
                <w:rFonts w:cstheme="minorHAnsi"/>
              </w:rPr>
              <w:t>Energy Efficiency</w:t>
            </w:r>
          </w:p>
        </w:tc>
      </w:tr>
      <w:tr w:rsidR="00FF18F8" w14:paraId="4B9847A2" w14:textId="77777777" w:rsidTr="00E92AED">
        <w:tc>
          <w:tcPr>
            <w:tcW w:w="4315" w:type="dxa"/>
            <w:vAlign w:val="center"/>
          </w:tcPr>
          <w:p w14:paraId="25FD3A12" w14:textId="05249998" w:rsidR="00FF18F8" w:rsidRPr="00E92AED" w:rsidRDefault="00FF18F8" w:rsidP="00E92AED">
            <w:pPr>
              <w:rPr>
                <w:rFonts w:cstheme="minorHAnsi"/>
                <w:color w:val="000000" w:themeColor="text1"/>
              </w:rPr>
            </w:pPr>
            <w:r w:rsidRPr="00E92AED">
              <w:rPr>
                <w:rFonts w:cstheme="minorHAnsi"/>
                <w:color w:val="000000" w:themeColor="text1"/>
              </w:rPr>
              <w:t>FY</w:t>
            </w:r>
          </w:p>
        </w:tc>
        <w:tc>
          <w:tcPr>
            <w:tcW w:w="5035" w:type="dxa"/>
            <w:vAlign w:val="center"/>
          </w:tcPr>
          <w:p w14:paraId="7EA99A7A" w14:textId="43E05997" w:rsidR="00FF18F8" w:rsidRPr="00E92AED" w:rsidRDefault="00E92AED" w:rsidP="00E92AED">
            <w:pPr>
              <w:rPr>
                <w:rFonts w:cstheme="minorHAnsi"/>
                <w:color w:val="000000" w:themeColor="text1"/>
              </w:rPr>
            </w:pPr>
            <w:r w:rsidRPr="00E92AED">
              <w:rPr>
                <w:rFonts w:cstheme="minorHAnsi"/>
              </w:rPr>
              <w:t>Fiscal Year</w:t>
            </w:r>
          </w:p>
        </w:tc>
      </w:tr>
      <w:tr w:rsidR="00FF18F8" w14:paraId="4B5C1E5E" w14:textId="77777777" w:rsidTr="00E92AED">
        <w:tc>
          <w:tcPr>
            <w:tcW w:w="4315" w:type="dxa"/>
            <w:vAlign w:val="center"/>
          </w:tcPr>
          <w:p w14:paraId="75C7A915" w14:textId="46F7ADB9" w:rsidR="00FF18F8" w:rsidRPr="00E92AED" w:rsidRDefault="00FF18F8" w:rsidP="00E92AED">
            <w:pPr>
              <w:rPr>
                <w:rFonts w:cstheme="minorHAnsi"/>
                <w:color w:val="000000" w:themeColor="text1"/>
              </w:rPr>
            </w:pPr>
            <w:r w:rsidRPr="00E92AED">
              <w:rPr>
                <w:rFonts w:cstheme="minorHAnsi"/>
                <w:color w:val="000000" w:themeColor="text1"/>
              </w:rPr>
              <w:t>GHG</w:t>
            </w:r>
          </w:p>
        </w:tc>
        <w:tc>
          <w:tcPr>
            <w:tcW w:w="5035" w:type="dxa"/>
            <w:vAlign w:val="center"/>
          </w:tcPr>
          <w:p w14:paraId="07AE78C7" w14:textId="79B0B918" w:rsidR="00FF18F8" w:rsidRPr="00E92AED" w:rsidRDefault="00E92AED" w:rsidP="00E92AED">
            <w:pPr>
              <w:rPr>
                <w:rFonts w:cstheme="minorHAnsi"/>
                <w:color w:val="000000" w:themeColor="text1"/>
              </w:rPr>
            </w:pPr>
            <w:r w:rsidRPr="00E92AED">
              <w:rPr>
                <w:rFonts w:cstheme="minorHAnsi"/>
              </w:rPr>
              <w:t>Greenhouse Gas</w:t>
            </w:r>
          </w:p>
        </w:tc>
      </w:tr>
      <w:tr w:rsidR="00FF18F8" w14:paraId="54ABCD6C" w14:textId="77777777" w:rsidTr="00E92AED">
        <w:tc>
          <w:tcPr>
            <w:tcW w:w="4315" w:type="dxa"/>
            <w:vAlign w:val="center"/>
          </w:tcPr>
          <w:p w14:paraId="2A8378B3" w14:textId="5CE5479B" w:rsidR="00FF18F8" w:rsidRPr="00E92AED" w:rsidRDefault="00FF18F8" w:rsidP="00E92AED">
            <w:pPr>
              <w:rPr>
                <w:rFonts w:cstheme="minorHAnsi"/>
                <w:color w:val="000000" w:themeColor="text1"/>
              </w:rPr>
            </w:pPr>
            <w:r w:rsidRPr="00E92AED">
              <w:rPr>
                <w:rFonts w:cstheme="minorHAnsi"/>
                <w:color w:val="000000" w:themeColor="text1"/>
              </w:rPr>
              <w:t>IRP</w:t>
            </w:r>
          </w:p>
        </w:tc>
        <w:tc>
          <w:tcPr>
            <w:tcW w:w="5035" w:type="dxa"/>
            <w:vAlign w:val="center"/>
          </w:tcPr>
          <w:p w14:paraId="10BA4312" w14:textId="27FBB869" w:rsidR="00FF18F8" w:rsidRPr="00E92AED" w:rsidRDefault="00E92AED" w:rsidP="00E92AED">
            <w:pPr>
              <w:rPr>
                <w:rFonts w:cstheme="minorHAnsi"/>
                <w:color w:val="000000" w:themeColor="text1"/>
              </w:rPr>
            </w:pPr>
            <w:r w:rsidRPr="00E92AED">
              <w:rPr>
                <w:rFonts w:cstheme="minorHAnsi"/>
              </w:rPr>
              <w:t>Integrated Resource Plan</w:t>
            </w:r>
          </w:p>
        </w:tc>
      </w:tr>
      <w:tr w:rsidR="00FF18F8" w14:paraId="3BBC220F" w14:textId="77777777" w:rsidTr="00E92AED">
        <w:tc>
          <w:tcPr>
            <w:tcW w:w="4315" w:type="dxa"/>
            <w:vAlign w:val="center"/>
          </w:tcPr>
          <w:p w14:paraId="56C33705" w14:textId="7305A93C" w:rsidR="00FF18F8" w:rsidRPr="00E92AED" w:rsidRDefault="00FF18F8" w:rsidP="00E92AED">
            <w:pPr>
              <w:rPr>
                <w:rFonts w:cstheme="minorHAnsi"/>
                <w:color w:val="000000" w:themeColor="text1"/>
              </w:rPr>
            </w:pPr>
            <w:r w:rsidRPr="00E92AED">
              <w:rPr>
                <w:rFonts w:cstheme="minorHAnsi"/>
                <w:color w:val="000000" w:themeColor="text1"/>
              </w:rPr>
              <w:t>LSE</w:t>
            </w:r>
          </w:p>
        </w:tc>
        <w:tc>
          <w:tcPr>
            <w:tcW w:w="5035" w:type="dxa"/>
            <w:vAlign w:val="center"/>
          </w:tcPr>
          <w:p w14:paraId="1A229508" w14:textId="5FB94A99" w:rsidR="00FF18F8" w:rsidRPr="00E92AED" w:rsidRDefault="00E92AED" w:rsidP="00E92AED">
            <w:pPr>
              <w:rPr>
                <w:rFonts w:cstheme="minorHAnsi"/>
                <w:color w:val="000000" w:themeColor="text1"/>
              </w:rPr>
            </w:pPr>
            <w:r w:rsidRPr="00E92AED">
              <w:rPr>
                <w:rFonts w:cstheme="minorHAnsi"/>
              </w:rPr>
              <w:t>Load Serving Entity</w:t>
            </w:r>
          </w:p>
        </w:tc>
      </w:tr>
      <w:tr w:rsidR="00FF18F8" w14:paraId="074A0B5F" w14:textId="77777777" w:rsidTr="00E92AED">
        <w:tc>
          <w:tcPr>
            <w:tcW w:w="4315" w:type="dxa"/>
            <w:vAlign w:val="center"/>
          </w:tcPr>
          <w:p w14:paraId="4CA946EC" w14:textId="47A4A363" w:rsidR="00FF18F8" w:rsidRPr="00E92AED" w:rsidRDefault="00FF18F8" w:rsidP="00E92AED">
            <w:pPr>
              <w:rPr>
                <w:rFonts w:cstheme="minorHAnsi"/>
                <w:color w:val="000000" w:themeColor="text1"/>
              </w:rPr>
            </w:pPr>
            <w:r w:rsidRPr="00E92AED">
              <w:rPr>
                <w:rFonts w:cstheme="minorHAnsi"/>
                <w:color w:val="000000" w:themeColor="text1"/>
              </w:rPr>
              <w:t>LV</w:t>
            </w:r>
          </w:p>
        </w:tc>
        <w:tc>
          <w:tcPr>
            <w:tcW w:w="5035" w:type="dxa"/>
            <w:vAlign w:val="center"/>
          </w:tcPr>
          <w:p w14:paraId="1512A4D4" w14:textId="4A631130" w:rsidR="00FF18F8" w:rsidRPr="00E92AED" w:rsidRDefault="00E92AED" w:rsidP="00E92AED">
            <w:pPr>
              <w:rPr>
                <w:rFonts w:cstheme="minorHAnsi"/>
                <w:color w:val="000000" w:themeColor="text1"/>
              </w:rPr>
            </w:pPr>
            <w:r w:rsidRPr="00E92AED">
              <w:rPr>
                <w:rFonts w:cstheme="minorHAnsi"/>
              </w:rPr>
              <w:t>Low-Voltage</w:t>
            </w:r>
          </w:p>
        </w:tc>
      </w:tr>
      <w:tr w:rsidR="00FF18F8" w14:paraId="0202114C" w14:textId="77777777" w:rsidTr="00E92AED">
        <w:tc>
          <w:tcPr>
            <w:tcW w:w="4315" w:type="dxa"/>
            <w:vAlign w:val="center"/>
          </w:tcPr>
          <w:p w14:paraId="08F485DA" w14:textId="06B323E4" w:rsidR="00FF18F8" w:rsidRPr="00E92AED" w:rsidRDefault="00FF18F8" w:rsidP="00E92AED">
            <w:pPr>
              <w:rPr>
                <w:rFonts w:cstheme="minorHAnsi"/>
                <w:color w:val="000000" w:themeColor="text1"/>
              </w:rPr>
            </w:pPr>
            <w:r w:rsidRPr="00E92AED">
              <w:rPr>
                <w:rFonts w:cstheme="minorHAnsi"/>
                <w:color w:val="000000" w:themeColor="text1"/>
              </w:rPr>
              <w:t>NNP</w:t>
            </w:r>
          </w:p>
        </w:tc>
        <w:tc>
          <w:tcPr>
            <w:tcW w:w="5035" w:type="dxa"/>
            <w:vAlign w:val="center"/>
          </w:tcPr>
          <w:p w14:paraId="27BFBEA9" w14:textId="497A38F2" w:rsidR="00FF18F8" w:rsidRPr="00E92AED" w:rsidRDefault="00E92AED" w:rsidP="00E92AED">
            <w:pPr>
              <w:rPr>
                <w:rFonts w:cstheme="minorHAnsi"/>
                <w:color w:val="000000" w:themeColor="text1"/>
              </w:rPr>
            </w:pPr>
            <w:r w:rsidRPr="00E92AED">
              <w:rPr>
                <w:rFonts w:cstheme="minorHAnsi"/>
              </w:rPr>
              <w:t>No New PPA</w:t>
            </w:r>
          </w:p>
        </w:tc>
      </w:tr>
      <w:tr w:rsidR="00FF18F8" w14:paraId="688F35FE" w14:textId="77777777" w:rsidTr="00E92AED">
        <w:tc>
          <w:tcPr>
            <w:tcW w:w="4315" w:type="dxa"/>
            <w:vAlign w:val="center"/>
          </w:tcPr>
          <w:p w14:paraId="2DBA76DD" w14:textId="6BBA7CF3" w:rsidR="00FF18F8" w:rsidRPr="00E92AED" w:rsidRDefault="00FF18F8" w:rsidP="00E92AED">
            <w:pPr>
              <w:rPr>
                <w:rFonts w:cstheme="minorHAnsi"/>
                <w:color w:val="000000" w:themeColor="text1"/>
              </w:rPr>
            </w:pPr>
            <w:r w:rsidRPr="00E92AED">
              <w:rPr>
                <w:rFonts w:cstheme="minorHAnsi"/>
                <w:color w:val="000000" w:themeColor="text1"/>
              </w:rPr>
              <w:t>NPV</w:t>
            </w:r>
          </w:p>
        </w:tc>
        <w:tc>
          <w:tcPr>
            <w:tcW w:w="5035" w:type="dxa"/>
            <w:vAlign w:val="center"/>
          </w:tcPr>
          <w:p w14:paraId="656ED932" w14:textId="32072065" w:rsidR="00FF18F8" w:rsidRPr="00E92AED" w:rsidRDefault="00E92AED" w:rsidP="00E92AED">
            <w:pPr>
              <w:rPr>
                <w:rFonts w:cstheme="minorHAnsi"/>
                <w:color w:val="000000" w:themeColor="text1"/>
              </w:rPr>
            </w:pPr>
            <w:r w:rsidRPr="00E92AED">
              <w:rPr>
                <w:rFonts w:cstheme="minorHAnsi"/>
              </w:rPr>
              <w:t>Net Present Value</w:t>
            </w:r>
          </w:p>
        </w:tc>
      </w:tr>
      <w:tr w:rsidR="00FF18F8" w14:paraId="037E2B2E" w14:textId="77777777" w:rsidTr="00E92AED">
        <w:tc>
          <w:tcPr>
            <w:tcW w:w="4315" w:type="dxa"/>
            <w:vAlign w:val="center"/>
          </w:tcPr>
          <w:p w14:paraId="1DFB5D35" w14:textId="007FE6CA" w:rsidR="00FF18F8" w:rsidRPr="00E92AED" w:rsidRDefault="00FF18F8" w:rsidP="00E92AED">
            <w:pPr>
              <w:rPr>
                <w:rFonts w:cstheme="minorHAnsi"/>
                <w:color w:val="000000" w:themeColor="text1"/>
              </w:rPr>
            </w:pPr>
            <w:r w:rsidRPr="00E92AED">
              <w:rPr>
                <w:rFonts w:cstheme="minorHAnsi"/>
                <w:color w:val="000000" w:themeColor="text1"/>
              </w:rPr>
              <w:t>NTUA</w:t>
            </w:r>
          </w:p>
        </w:tc>
        <w:tc>
          <w:tcPr>
            <w:tcW w:w="5035" w:type="dxa"/>
            <w:vAlign w:val="center"/>
          </w:tcPr>
          <w:p w14:paraId="4F3370E0" w14:textId="3760790D" w:rsidR="00FF18F8" w:rsidRPr="00E92AED" w:rsidRDefault="00E92AED" w:rsidP="00E92AED">
            <w:pPr>
              <w:rPr>
                <w:rFonts w:cstheme="minorHAnsi"/>
                <w:color w:val="000000" w:themeColor="text1"/>
              </w:rPr>
            </w:pPr>
            <w:r w:rsidRPr="00E92AED">
              <w:rPr>
                <w:rFonts w:cstheme="minorHAnsi"/>
              </w:rPr>
              <w:t>Navajo Tribal Utility Authority</w:t>
            </w:r>
          </w:p>
        </w:tc>
      </w:tr>
      <w:tr w:rsidR="00FF18F8" w14:paraId="55D65BBA" w14:textId="77777777" w:rsidTr="00E92AED">
        <w:tc>
          <w:tcPr>
            <w:tcW w:w="4315" w:type="dxa"/>
            <w:vAlign w:val="center"/>
          </w:tcPr>
          <w:p w14:paraId="67769387" w14:textId="6A6C97F2" w:rsidR="00FF18F8" w:rsidRPr="00E92AED" w:rsidRDefault="00FF18F8" w:rsidP="00E92AED">
            <w:pPr>
              <w:rPr>
                <w:rFonts w:cstheme="minorHAnsi"/>
                <w:color w:val="000000" w:themeColor="text1"/>
              </w:rPr>
            </w:pPr>
            <w:r w:rsidRPr="00E92AED">
              <w:rPr>
                <w:rFonts w:cstheme="minorHAnsi"/>
                <w:color w:val="000000" w:themeColor="text1"/>
              </w:rPr>
              <w:t>NVE</w:t>
            </w:r>
          </w:p>
        </w:tc>
        <w:tc>
          <w:tcPr>
            <w:tcW w:w="5035" w:type="dxa"/>
            <w:vAlign w:val="center"/>
          </w:tcPr>
          <w:p w14:paraId="4B069030" w14:textId="75B29A9A" w:rsidR="00FF18F8" w:rsidRPr="00E92AED" w:rsidRDefault="00E92AED" w:rsidP="00E92AED">
            <w:pPr>
              <w:rPr>
                <w:rFonts w:cstheme="minorHAnsi"/>
                <w:color w:val="000000" w:themeColor="text1"/>
              </w:rPr>
            </w:pPr>
            <w:r w:rsidRPr="00E92AED">
              <w:rPr>
                <w:rFonts w:cstheme="minorHAnsi"/>
              </w:rPr>
              <w:t>NV Energy</w:t>
            </w:r>
          </w:p>
        </w:tc>
      </w:tr>
      <w:tr w:rsidR="00FF18F8" w14:paraId="482ED2B7" w14:textId="77777777" w:rsidTr="00E92AED">
        <w:tc>
          <w:tcPr>
            <w:tcW w:w="4315" w:type="dxa"/>
            <w:vAlign w:val="center"/>
          </w:tcPr>
          <w:p w14:paraId="1BD530AE" w14:textId="7776A9F3" w:rsidR="00FF18F8" w:rsidRPr="00E92AED" w:rsidRDefault="00FF18F8" w:rsidP="00E92AED">
            <w:pPr>
              <w:rPr>
                <w:rFonts w:cstheme="minorHAnsi"/>
                <w:color w:val="000000" w:themeColor="text1"/>
              </w:rPr>
            </w:pPr>
            <w:r w:rsidRPr="00E92AED">
              <w:rPr>
                <w:rFonts w:cstheme="minorHAnsi"/>
                <w:color w:val="000000" w:themeColor="text1"/>
              </w:rPr>
              <w:t>OATT</w:t>
            </w:r>
          </w:p>
        </w:tc>
        <w:tc>
          <w:tcPr>
            <w:tcW w:w="5035" w:type="dxa"/>
            <w:vAlign w:val="center"/>
          </w:tcPr>
          <w:p w14:paraId="5CB934E3" w14:textId="31B558B2" w:rsidR="00FF18F8" w:rsidRPr="00E92AED" w:rsidRDefault="00E92AED" w:rsidP="00E92AED">
            <w:pPr>
              <w:rPr>
                <w:rFonts w:cstheme="minorHAnsi"/>
                <w:color w:val="000000" w:themeColor="text1"/>
              </w:rPr>
            </w:pPr>
            <w:r w:rsidRPr="00E92AED">
              <w:rPr>
                <w:rFonts w:cstheme="minorHAnsi"/>
              </w:rPr>
              <w:t>Open Access Transmission Tariff</w:t>
            </w:r>
          </w:p>
        </w:tc>
      </w:tr>
      <w:tr w:rsidR="00FF18F8" w14:paraId="7657EC51" w14:textId="77777777" w:rsidTr="00E92AED">
        <w:tc>
          <w:tcPr>
            <w:tcW w:w="4315" w:type="dxa"/>
            <w:vAlign w:val="center"/>
          </w:tcPr>
          <w:p w14:paraId="54F0A8C4" w14:textId="319AA367" w:rsidR="00FF18F8" w:rsidRPr="00E92AED" w:rsidRDefault="00FF18F8" w:rsidP="00E92AED">
            <w:pPr>
              <w:rPr>
                <w:rFonts w:cstheme="minorHAnsi"/>
                <w:color w:val="000000" w:themeColor="text1"/>
              </w:rPr>
            </w:pPr>
            <w:r w:rsidRPr="00E92AED">
              <w:rPr>
                <w:rFonts w:cstheme="minorHAnsi"/>
                <w:color w:val="000000" w:themeColor="text1"/>
              </w:rPr>
              <w:t>PEV</w:t>
            </w:r>
          </w:p>
        </w:tc>
        <w:tc>
          <w:tcPr>
            <w:tcW w:w="5035" w:type="dxa"/>
            <w:vAlign w:val="center"/>
          </w:tcPr>
          <w:p w14:paraId="2F87586C" w14:textId="2B6F7E87" w:rsidR="00FF18F8" w:rsidRPr="00E92AED" w:rsidRDefault="00E92AED" w:rsidP="00E92AED">
            <w:pPr>
              <w:rPr>
                <w:rFonts w:cstheme="minorHAnsi"/>
                <w:color w:val="000000" w:themeColor="text1"/>
              </w:rPr>
            </w:pPr>
            <w:r w:rsidRPr="00E92AED">
              <w:rPr>
                <w:rFonts w:cstheme="minorHAnsi"/>
              </w:rPr>
              <w:t>Plug-in Electric Vehicle</w:t>
            </w:r>
          </w:p>
        </w:tc>
      </w:tr>
      <w:tr w:rsidR="00E92AED" w14:paraId="292419BC" w14:textId="77777777" w:rsidTr="00E92AED">
        <w:tc>
          <w:tcPr>
            <w:tcW w:w="4315" w:type="dxa"/>
            <w:vAlign w:val="center"/>
          </w:tcPr>
          <w:p w14:paraId="26E8F8BD" w14:textId="3CA28E55" w:rsidR="00E92AED" w:rsidRPr="00E92AED" w:rsidRDefault="00E92AED" w:rsidP="00E92AED">
            <w:pPr>
              <w:rPr>
                <w:rFonts w:cstheme="minorHAnsi"/>
                <w:color w:val="000000" w:themeColor="text1"/>
              </w:rPr>
            </w:pPr>
            <w:r>
              <w:rPr>
                <w:rFonts w:cstheme="minorHAnsi"/>
                <w:color w:val="000000" w:themeColor="text1"/>
              </w:rPr>
              <w:t>POU</w:t>
            </w:r>
          </w:p>
        </w:tc>
        <w:tc>
          <w:tcPr>
            <w:tcW w:w="5035" w:type="dxa"/>
            <w:vAlign w:val="center"/>
          </w:tcPr>
          <w:p w14:paraId="529B4147" w14:textId="2F15675F" w:rsidR="00E92AED" w:rsidRPr="00E92AED" w:rsidRDefault="00E92AED" w:rsidP="00E92AED">
            <w:pPr>
              <w:rPr>
                <w:rFonts w:cstheme="minorHAnsi"/>
              </w:rPr>
            </w:pPr>
            <w:r>
              <w:rPr>
                <w:rFonts w:cstheme="minorHAnsi"/>
              </w:rPr>
              <w:t>Publicly Owned Utility</w:t>
            </w:r>
          </w:p>
        </w:tc>
      </w:tr>
      <w:tr w:rsidR="00FF18F8" w14:paraId="66D4CCD1" w14:textId="77777777" w:rsidTr="00E92AED">
        <w:tc>
          <w:tcPr>
            <w:tcW w:w="4315" w:type="dxa"/>
            <w:vAlign w:val="center"/>
          </w:tcPr>
          <w:p w14:paraId="496BFED0" w14:textId="029CF620" w:rsidR="00FF18F8" w:rsidRPr="00E92AED" w:rsidRDefault="00FF18F8" w:rsidP="00E92AED">
            <w:pPr>
              <w:rPr>
                <w:rFonts w:cstheme="minorHAnsi"/>
                <w:color w:val="000000" w:themeColor="text1"/>
              </w:rPr>
            </w:pPr>
            <w:r w:rsidRPr="00E92AED">
              <w:rPr>
                <w:rFonts w:cstheme="minorHAnsi"/>
                <w:color w:val="000000" w:themeColor="text1"/>
              </w:rPr>
              <w:t>PPA</w:t>
            </w:r>
          </w:p>
        </w:tc>
        <w:tc>
          <w:tcPr>
            <w:tcW w:w="5035" w:type="dxa"/>
            <w:vAlign w:val="center"/>
          </w:tcPr>
          <w:p w14:paraId="4F1B5691" w14:textId="1E5CA33C" w:rsidR="00FF18F8" w:rsidRPr="00E92AED" w:rsidRDefault="00E92AED" w:rsidP="00E92AED">
            <w:pPr>
              <w:rPr>
                <w:rFonts w:cstheme="minorHAnsi"/>
                <w:color w:val="000000" w:themeColor="text1"/>
              </w:rPr>
            </w:pPr>
            <w:r w:rsidRPr="00E92AED">
              <w:rPr>
                <w:rFonts w:cstheme="minorHAnsi"/>
              </w:rPr>
              <w:t>Power Purchase Agreement</w:t>
            </w:r>
          </w:p>
        </w:tc>
      </w:tr>
      <w:tr w:rsidR="00FF18F8" w14:paraId="15E6F447" w14:textId="77777777" w:rsidTr="00E92AED">
        <w:tc>
          <w:tcPr>
            <w:tcW w:w="4315" w:type="dxa"/>
            <w:vAlign w:val="center"/>
          </w:tcPr>
          <w:p w14:paraId="7F0B786E" w14:textId="5351936C" w:rsidR="00FF18F8" w:rsidRPr="00E92AED" w:rsidRDefault="00FF18F8" w:rsidP="00E92AED">
            <w:pPr>
              <w:rPr>
                <w:rFonts w:cstheme="minorHAnsi"/>
                <w:color w:val="000000" w:themeColor="text1"/>
              </w:rPr>
            </w:pPr>
            <w:r w:rsidRPr="00E92AED">
              <w:rPr>
                <w:rFonts w:cstheme="minorHAnsi"/>
                <w:color w:val="000000" w:themeColor="text1"/>
              </w:rPr>
              <w:t>PRM</w:t>
            </w:r>
          </w:p>
        </w:tc>
        <w:tc>
          <w:tcPr>
            <w:tcW w:w="5035" w:type="dxa"/>
            <w:vAlign w:val="center"/>
          </w:tcPr>
          <w:p w14:paraId="76181B94" w14:textId="4AF4088C" w:rsidR="00FF18F8" w:rsidRPr="00E92AED" w:rsidRDefault="00E92AED" w:rsidP="00E92AED">
            <w:pPr>
              <w:rPr>
                <w:rFonts w:cstheme="minorHAnsi"/>
                <w:color w:val="000000" w:themeColor="text1"/>
              </w:rPr>
            </w:pPr>
            <w:r w:rsidRPr="00E92AED">
              <w:rPr>
                <w:rFonts w:cstheme="minorHAnsi"/>
              </w:rPr>
              <w:t>Planning Reserve Margin</w:t>
            </w:r>
          </w:p>
        </w:tc>
      </w:tr>
      <w:tr w:rsidR="00FF18F8" w14:paraId="0C95A863" w14:textId="77777777" w:rsidTr="00E92AED">
        <w:tc>
          <w:tcPr>
            <w:tcW w:w="4315" w:type="dxa"/>
            <w:vAlign w:val="center"/>
          </w:tcPr>
          <w:p w14:paraId="583965E8" w14:textId="1643120B" w:rsidR="00FF18F8" w:rsidRPr="00E92AED" w:rsidRDefault="00FF18F8" w:rsidP="00E92AED">
            <w:pPr>
              <w:rPr>
                <w:rFonts w:cstheme="minorHAnsi"/>
                <w:color w:val="000000" w:themeColor="text1"/>
              </w:rPr>
            </w:pPr>
            <w:r w:rsidRPr="00E92AED">
              <w:rPr>
                <w:rFonts w:cstheme="minorHAnsi"/>
                <w:color w:val="000000" w:themeColor="text1"/>
              </w:rPr>
              <w:t>RA</w:t>
            </w:r>
          </w:p>
        </w:tc>
        <w:tc>
          <w:tcPr>
            <w:tcW w:w="5035" w:type="dxa"/>
            <w:vAlign w:val="center"/>
          </w:tcPr>
          <w:p w14:paraId="2D075005" w14:textId="11407F8A" w:rsidR="00FF18F8" w:rsidRPr="00E92AED" w:rsidRDefault="00E92AED" w:rsidP="00E92AED">
            <w:pPr>
              <w:rPr>
                <w:rFonts w:cstheme="minorHAnsi"/>
                <w:color w:val="000000" w:themeColor="text1"/>
              </w:rPr>
            </w:pPr>
            <w:r w:rsidRPr="00E92AED">
              <w:rPr>
                <w:rFonts w:cstheme="minorHAnsi"/>
              </w:rPr>
              <w:t>Resource Adequacy</w:t>
            </w:r>
          </w:p>
        </w:tc>
      </w:tr>
      <w:tr w:rsidR="00FF18F8" w14:paraId="5CCB6041" w14:textId="77777777" w:rsidTr="00E92AED">
        <w:tc>
          <w:tcPr>
            <w:tcW w:w="4315" w:type="dxa"/>
            <w:vAlign w:val="center"/>
          </w:tcPr>
          <w:p w14:paraId="38DFA5B9" w14:textId="0F7FF991" w:rsidR="00FF18F8" w:rsidRPr="00E92AED" w:rsidRDefault="00FF18F8" w:rsidP="00E92AED">
            <w:pPr>
              <w:rPr>
                <w:rFonts w:cstheme="minorHAnsi"/>
                <w:color w:val="000000" w:themeColor="text1"/>
              </w:rPr>
            </w:pPr>
            <w:r w:rsidRPr="00E92AED">
              <w:rPr>
                <w:rFonts w:cstheme="minorHAnsi"/>
                <w:color w:val="000000" w:themeColor="text1"/>
              </w:rPr>
              <w:t>REC</w:t>
            </w:r>
          </w:p>
        </w:tc>
        <w:tc>
          <w:tcPr>
            <w:tcW w:w="5035" w:type="dxa"/>
            <w:vAlign w:val="center"/>
          </w:tcPr>
          <w:p w14:paraId="76E57BCD" w14:textId="68EF3F72" w:rsidR="00FF18F8" w:rsidRPr="00E92AED" w:rsidRDefault="00E92AED" w:rsidP="00E92AED">
            <w:pPr>
              <w:rPr>
                <w:rFonts w:cstheme="minorHAnsi"/>
                <w:color w:val="000000" w:themeColor="text1"/>
              </w:rPr>
            </w:pPr>
            <w:r w:rsidRPr="00E92AED">
              <w:rPr>
                <w:rFonts w:cstheme="minorHAnsi"/>
              </w:rPr>
              <w:t>Renewable Energy Credit</w:t>
            </w:r>
          </w:p>
        </w:tc>
      </w:tr>
      <w:tr w:rsidR="00FF18F8" w14:paraId="7361CADE" w14:textId="77777777" w:rsidTr="00E92AED">
        <w:tc>
          <w:tcPr>
            <w:tcW w:w="4315" w:type="dxa"/>
            <w:vAlign w:val="center"/>
          </w:tcPr>
          <w:p w14:paraId="5DDD155A" w14:textId="3B453AC8" w:rsidR="00FF18F8" w:rsidRPr="00E92AED" w:rsidRDefault="00FF18F8" w:rsidP="00E92AED">
            <w:pPr>
              <w:rPr>
                <w:rFonts w:cstheme="minorHAnsi"/>
                <w:color w:val="000000" w:themeColor="text1"/>
              </w:rPr>
            </w:pPr>
            <w:r w:rsidRPr="00E92AED">
              <w:rPr>
                <w:rFonts w:cstheme="minorHAnsi"/>
                <w:color w:val="000000" w:themeColor="text1"/>
              </w:rPr>
              <w:t>RPS</w:t>
            </w:r>
          </w:p>
        </w:tc>
        <w:tc>
          <w:tcPr>
            <w:tcW w:w="5035" w:type="dxa"/>
            <w:vAlign w:val="center"/>
          </w:tcPr>
          <w:p w14:paraId="0588FD15" w14:textId="50B7E2F4" w:rsidR="00FF18F8" w:rsidRPr="00E92AED" w:rsidRDefault="00E92AED" w:rsidP="00E92AED">
            <w:pPr>
              <w:rPr>
                <w:rFonts w:cstheme="minorHAnsi"/>
                <w:color w:val="000000" w:themeColor="text1"/>
              </w:rPr>
            </w:pPr>
            <w:r w:rsidRPr="00E92AED">
              <w:rPr>
                <w:rFonts w:cstheme="minorHAnsi"/>
              </w:rPr>
              <w:t>Renewable Portfolio Standard</w:t>
            </w:r>
          </w:p>
        </w:tc>
      </w:tr>
      <w:tr w:rsidR="00FF18F8" w14:paraId="34BE3E43" w14:textId="77777777" w:rsidTr="00E92AED">
        <w:tc>
          <w:tcPr>
            <w:tcW w:w="4315" w:type="dxa"/>
            <w:vAlign w:val="center"/>
          </w:tcPr>
          <w:p w14:paraId="77260C4E" w14:textId="3E09F02A" w:rsidR="00FF18F8" w:rsidRPr="00E92AED" w:rsidRDefault="00FF18F8" w:rsidP="00E92AED">
            <w:pPr>
              <w:rPr>
                <w:rFonts w:cstheme="minorHAnsi"/>
                <w:color w:val="000000" w:themeColor="text1"/>
              </w:rPr>
            </w:pPr>
            <w:r w:rsidRPr="00E92AED">
              <w:rPr>
                <w:rFonts w:cstheme="minorHAnsi"/>
                <w:color w:val="000000" w:themeColor="text1"/>
              </w:rPr>
              <w:t>SB</w:t>
            </w:r>
          </w:p>
        </w:tc>
        <w:tc>
          <w:tcPr>
            <w:tcW w:w="5035" w:type="dxa"/>
            <w:vAlign w:val="center"/>
          </w:tcPr>
          <w:p w14:paraId="09B30B1E" w14:textId="2B59F237" w:rsidR="00FF18F8" w:rsidRPr="00E92AED" w:rsidRDefault="00E92AED" w:rsidP="00E92AED">
            <w:pPr>
              <w:rPr>
                <w:rFonts w:cstheme="minorHAnsi"/>
                <w:color w:val="000000" w:themeColor="text1"/>
              </w:rPr>
            </w:pPr>
            <w:r w:rsidRPr="00E92AED">
              <w:rPr>
                <w:rFonts w:cstheme="minorHAnsi"/>
              </w:rPr>
              <w:t>Senate Bill</w:t>
            </w:r>
          </w:p>
        </w:tc>
      </w:tr>
      <w:tr w:rsidR="00FF18F8" w14:paraId="24FCC6A3" w14:textId="77777777" w:rsidTr="00E92AED">
        <w:tc>
          <w:tcPr>
            <w:tcW w:w="4315" w:type="dxa"/>
            <w:vAlign w:val="center"/>
          </w:tcPr>
          <w:p w14:paraId="417490F1" w14:textId="61423D58" w:rsidR="00FF18F8" w:rsidRPr="00E92AED" w:rsidRDefault="00FF18F8" w:rsidP="00E92AED">
            <w:pPr>
              <w:rPr>
                <w:rFonts w:cstheme="minorHAnsi"/>
                <w:color w:val="000000" w:themeColor="text1"/>
              </w:rPr>
            </w:pPr>
            <w:r w:rsidRPr="00E92AED">
              <w:rPr>
                <w:rFonts w:cstheme="minorHAnsi"/>
                <w:color w:val="000000" w:themeColor="text1"/>
              </w:rPr>
              <w:t>SC</w:t>
            </w:r>
          </w:p>
        </w:tc>
        <w:tc>
          <w:tcPr>
            <w:tcW w:w="5035" w:type="dxa"/>
            <w:vAlign w:val="center"/>
          </w:tcPr>
          <w:p w14:paraId="2FE95208" w14:textId="46FA16AF" w:rsidR="00FF18F8" w:rsidRPr="00E92AED" w:rsidRDefault="00E92AED" w:rsidP="00E92AED">
            <w:pPr>
              <w:rPr>
                <w:rFonts w:cstheme="minorHAnsi"/>
                <w:color w:val="000000" w:themeColor="text1"/>
              </w:rPr>
            </w:pPr>
            <w:r w:rsidRPr="00E92AED">
              <w:rPr>
                <w:rFonts w:cstheme="minorHAnsi"/>
              </w:rPr>
              <w:t>Scheduling Coordinator</w:t>
            </w:r>
          </w:p>
        </w:tc>
      </w:tr>
      <w:tr w:rsidR="00FF18F8" w14:paraId="4B9535A0" w14:textId="77777777" w:rsidTr="00E92AED">
        <w:tc>
          <w:tcPr>
            <w:tcW w:w="4315" w:type="dxa"/>
            <w:vAlign w:val="center"/>
          </w:tcPr>
          <w:p w14:paraId="614A3058" w14:textId="554881C1" w:rsidR="00FF18F8" w:rsidRPr="00E92AED" w:rsidRDefault="00FF18F8" w:rsidP="00E92AED">
            <w:pPr>
              <w:rPr>
                <w:rFonts w:cstheme="minorHAnsi"/>
                <w:color w:val="000000" w:themeColor="text1"/>
              </w:rPr>
            </w:pPr>
            <w:r w:rsidRPr="00E92AED">
              <w:rPr>
                <w:rFonts w:cstheme="minorHAnsi"/>
                <w:color w:val="000000" w:themeColor="text1"/>
              </w:rPr>
              <w:t>SMR</w:t>
            </w:r>
          </w:p>
        </w:tc>
        <w:tc>
          <w:tcPr>
            <w:tcW w:w="5035" w:type="dxa"/>
            <w:vAlign w:val="center"/>
          </w:tcPr>
          <w:p w14:paraId="762D86B1" w14:textId="4286C397" w:rsidR="00FF18F8" w:rsidRPr="00E92AED" w:rsidRDefault="00E92AED" w:rsidP="00E92AED">
            <w:pPr>
              <w:rPr>
                <w:rFonts w:cstheme="minorHAnsi"/>
                <w:color w:val="000000" w:themeColor="text1"/>
              </w:rPr>
            </w:pPr>
            <w:r w:rsidRPr="00E92AED">
              <w:rPr>
                <w:rFonts w:cstheme="minorHAnsi"/>
              </w:rPr>
              <w:t>Small Modular Reactor</w:t>
            </w:r>
          </w:p>
        </w:tc>
      </w:tr>
      <w:tr w:rsidR="00FF18F8" w14:paraId="012E26DD" w14:textId="77777777" w:rsidTr="00E92AED">
        <w:tc>
          <w:tcPr>
            <w:tcW w:w="4315" w:type="dxa"/>
            <w:vAlign w:val="center"/>
          </w:tcPr>
          <w:p w14:paraId="0CE5FCBD" w14:textId="6DBEC013" w:rsidR="00FF18F8" w:rsidRPr="00E92AED" w:rsidRDefault="00E92AED" w:rsidP="00E92AED">
            <w:pPr>
              <w:rPr>
                <w:rFonts w:cstheme="minorHAnsi"/>
                <w:color w:val="000000" w:themeColor="text1"/>
              </w:rPr>
            </w:pPr>
            <w:r w:rsidRPr="00E92AED">
              <w:rPr>
                <w:rFonts w:cstheme="minorHAnsi"/>
                <w:color w:val="000000" w:themeColor="text1"/>
              </w:rPr>
              <w:t>SPPC</w:t>
            </w:r>
          </w:p>
        </w:tc>
        <w:tc>
          <w:tcPr>
            <w:tcW w:w="5035" w:type="dxa"/>
            <w:vAlign w:val="center"/>
          </w:tcPr>
          <w:p w14:paraId="6E1D9D73" w14:textId="361D28E3" w:rsidR="00FF18F8" w:rsidRPr="00E92AED" w:rsidRDefault="00E92AED" w:rsidP="00E92AED">
            <w:pPr>
              <w:rPr>
                <w:rFonts w:cstheme="minorHAnsi"/>
                <w:color w:val="000000" w:themeColor="text1"/>
              </w:rPr>
            </w:pPr>
            <w:r w:rsidRPr="00E92AED">
              <w:rPr>
                <w:rFonts w:cstheme="minorHAnsi"/>
              </w:rPr>
              <w:t>Sierra Pacific Power Company</w:t>
            </w:r>
          </w:p>
        </w:tc>
      </w:tr>
      <w:tr w:rsidR="00FF18F8" w14:paraId="6B10CCB3" w14:textId="77777777" w:rsidTr="00E92AED">
        <w:tc>
          <w:tcPr>
            <w:tcW w:w="4315" w:type="dxa"/>
            <w:vAlign w:val="center"/>
          </w:tcPr>
          <w:p w14:paraId="7BA2BB94" w14:textId="458F9CD2" w:rsidR="00FF18F8" w:rsidRPr="00E92AED" w:rsidRDefault="00E92AED" w:rsidP="00E92AED">
            <w:pPr>
              <w:rPr>
                <w:rFonts w:cstheme="minorHAnsi"/>
                <w:color w:val="000000" w:themeColor="text1"/>
              </w:rPr>
            </w:pPr>
            <w:r w:rsidRPr="00E92AED">
              <w:rPr>
                <w:rFonts w:cstheme="minorHAnsi"/>
                <w:color w:val="000000" w:themeColor="text1"/>
              </w:rPr>
              <w:t>TAC</w:t>
            </w:r>
          </w:p>
        </w:tc>
        <w:tc>
          <w:tcPr>
            <w:tcW w:w="5035" w:type="dxa"/>
            <w:vAlign w:val="center"/>
          </w:tcPr>
          <w:p w14:paraId="2D031A32" w14:textId="0AED84E0" w:rsidR="00FF18F8" w:rsidRPr="00E92AED" w:rsidRDefault="00E92AED" w:rsidP="00E92AED">
            <w:pPr>
              <w:rPr>
                <w:rFonts w:cstheme="minorHAnsi"/>
                <w:color w:val="000000" w:themeColor="text1"/>
              </w:rPr>
            </w:pPr>
            <w:r w:rsidRPr="00E92AED">
              <w:rPr>
                <w:rFonts w:cstheme="minorHAnsi"/>
              </w:rPr>
              <w:t>Transmission Access Charge</w:t>
            </w:r>
          </w:p>
        </w:tc>
      </w:tr>
      <w:tr w:rsidR="00E92AED" w14:paraId="6E8038C6" w14:textId="77777777" w:rsidTr="00E92AED">
        <w:tc>
          <w:tcPr>
            <w:tcW w:w="4315" w:type="dxa"/>
            <w:vAlign w:val="center"/>
          </w:tcPr>
          <w:p w14:paraId="7EDA185B" w14:textId="23EC621D" w:rsidR="00E92AED" w:rsidRPr="00E92AED" w:rsidRDefault="00E92AED" w:rsidP="00E92AED">
            <w:pPr>
              <w:rPr>
                <w:rFonts w:cstheme="minorHAnsi"/>
                <w:color w:val="000000" w:themeColor="text1"/>
              </w:rPr>
            </w:pPr>
            <w:r>
              <w:rPr>
                <w:rFonts w:cstheme="minorHAnsi"/>
                <w:color w:val="000000" w:themeColor="text1"/>
              </w:rPr>
              <w:t>TDPUD</w:t>
            </w:r>
          </w:p>
        </w:tc>
        <w:tc>
          <w:tcPr>
            <w:tcW w:w="5035" w:type="dxa"/>
            <w:vAlign w:val="center"/>
          </w:tcPr>
          <w:p w14:paraId="0FE565D4" w14:textId="0888DF0C" w:rsidR="00E92AED" w:rsidRPr="00E92AED" w:rsidRDefault="00E92AED" w:rsidP="00E92AED">
            <w:pPr>
              <w:rPr>
                <w:rFonts w:cstheme="minorHAnsi"/>
              </w:rPr>
            </w:pPr>
            <w:r>
              <w:rPr>
                <w:rFonts w:cstheme="minorHAnsi"/>
              </w:rPr>
              <w:t>Truckee Donner Public Utility District</w:t>
            </w:r>
          </w:p>
        </w:tc>
      </w:tr>
      <w:tr w:rsidR="00FF18F8" w14:paraId="56E08013" w14:textId="77777777" w:rsidTr="00E92AED">
        <w:tc>
          <w:tcPr>
            <w:tcW w:w="4315" w:type="dxa"/>
            <w:vAlign w:val="center"/>
          </w:tcPr>
          <w:p w14:paraId="193F6101" w14:textId="12DA9834" w:rsidR="00FF18F8" w:rsidRPr="00E92AED" w:rsidRDefault="00E92AED" w:rsidP="00E92AED">
            <w:pPr>
              <w:rPr>
                <w:rFonts w:cstheme="minorHAnsi"/>
                <w:color w:val="000000" w:themeColor="text1"/>
              </w:rPr>
            </w:pPr>
            <w:r w:rsidRPr="00E92AED">
              <w:rPr>
                <w:rFonts w:cstheme="minorHAnsi"/>
                <w:color w:val="000000" w:themeColor="text1"/>
              </w:rPr>
              <w:t>TCID</w:t>
            </w:r>
          </w:p>
        </w:tc>
        <w:tc>
          <w:tcPr>
            <w:tcW w:w="5035" w:type="dxa"/>
            <w:vAlign w:val="center"/>
          </w:tcPr>
          <w:p w14:paraId="2F792DD8" w14:textId="59C4D459" w:rsidR="00FF18F8" w:rsidRPr="00E92AED" w:rsidRDefault="00E92AED" w:rsidP="00E92AED">
            <w:pPr>
              <w:rPr>
                <w:rFonts w:cstheme="minorHAnsi"/>
                <w:color w:val="000000" w:themeColor="text1"/>
              </w:rPr>
            </w:pPr>
            <w:r w:rsidRPr="00E92AED">
              <w:rPr>
                <w:rFonts w:cstheme="minorHAnsi"/>
              </w:rPr>
              <w:t>Truckee-Carson Irrigation District</w:t>
            </w:r>
          </w:p>
        </w:tc>
      </w:tr>
      <w:tr w:rsidR="00E92AED" w14:paraId="73029DFC" w14:textId="77777777" w:rsidTr="00E92AED">
        <w:tc>
          <w:tcPr>
            <w:tcW w:w="4315" w:type="dxa"/>
            <w:vAlign w:val="center"/>
          </w:tcPr>
          <w:p w14:paraId="6AB832F5" w14:textId="727291B1" w:rsidR="00E92AED" w:rsidRPr="00E92AED" w:rsidRDefault="00E92AED" w:rsidP="00E92AED">
            <w:pPr>
              <w:rPr>
                <w:rFonts w:cstheme="minorHAnsi"/>
                <w:color w:val="000000" w:themeColor="text1"/>
              </w:rPr>
            </w:pPr>
            <w:r w:rsidRPr="00E92AED">
              <w:rPr>
                <w:rFonts w:cstheme="minorHAnsi"/>
                <w:color w:val="000000" w:themeColor="text1"/>
              </w:rPr>
              <w:t>UAMPS</w:t>
            </w:r>
          </w:p>
        </w:tc>
        <w:tc>
          <w:tcPr>
            <w:tcW w:w="5035" w:type="dxa"/>
            <w:vAlign w:val="center"/>
          </w:tcPr>
          <w:p w14:paraId="3787E255" w14:textId="2D0F0B93" w:rsidR="00E92AED" w:rsidRPr="00E92AED" w:rsidRDefault="00E92AED" w:rsidP="00E92AED">
            <w:pPr>
              <w:rPr>
                <w:rFonts w:cstheme="minorHAnsi"/>
                <w:color w:val="000000" w:themeColor="text1"/>
              </w:rPr>
            </w:pPr>
            <w:r w:rsidRPr="00E92AED">
              <w:rPr>
                <w:rFonts w:cstheme="minorHAnsi"/>
              </w:rPr>
              <w:t>Utah Association of Municipal Power Systems</w:t>
            </w:r>
          </w:p>
        </w:tc>
      </w:tr>
      <w:tr w:rsidR="00E92AED" w14:paraId="46E3D30C" w14:textId="77777777" w:rsidTr="00E92AED">
        <w:tc>
          <w:tcPr>
            <w:tcW w:w="4315" w:type="dxa"/>
            <w:vAlign w:val="center"/>
          </w:tcPr>
          <w:p w14:paraId="75199E8E" w14:textId="0BD01767" w:rsidR="00E92AED" w:rsidRPr="00E92AED" w:rsidRDefault="00E92AED" w:rsidP="00E92AED">
            <w:pPr>
              <w:rPr>
                <w:rFonts w:cstheme="minorHAnsi"/>
                <w:color w:val="000000" w:themeColor="text1"/>
              </w:rPr>
            </w:pPr>
            <w:r w:rsidRPr="00E92AED">
              <w:rPr>
                <w:rFonts w:cstheme="minorHAnsi"/>
                <w:color w:val="000000" w:themeColor="text1"/>
              </w:rPr>
              <w:t>WAC</w:t>
            </w:r>
          </w:p>
        </w:tc>
        <w:tc>
          <w:tcPr>
            <w:tcW w:w="5035" w:type="dxa"/>
            <w:vAlign w:val="center"/>
          </w:tcPr>
          <w:p w14:paraId="72E4998E" w14:textId="006D9BE1" w:rsidR="00E92AED" w:rsidRPr="00E92AED" w:rsidRDefault="00E92AED" w:rsidP="00E92AED">
            <w:pPr>
              <w:rPr>
                <w:rFonts w:cstheme="minorHAnsi"/>
                <w:color w:val="000000" w:themeColor="text1"/>
              </w:rPr>
            </w:pPr>
            <w:r w:rsidRPr="00E92AED">
              <w:rPr>
                <w:rFonts w:cstheme="minorHAnsi"/>
              </w:rPr>
              <w:t>Wheeling Access Charge</w:t>
            </w:r>
          </w:p>
        </w:tc>
      </w:tr>
      <w:tr w:rsidR="00E92AED" w14:paraId="71D358BC" w14:textId="77777777" w:rsidTr="00E92AED">
        <w:tc>
          <w:tcPr>
            <w:tcW w:w="4315" w:type="dxa"/>
            <w:vAlign w:val="center"/>
          </w:tcPr>
          <w:p w14:paraId="3E6C1C81" w14:textId="5A56BCC2" w:rsidR="00E92AED" w:rsidRPr="00E92AED" w:rsidRDefault="00E92AED" w:rsidP="00E92AED">
            <w:pPr>
              <w:rPr>
                <w:rFonts w:cstheme="minorHAnsi"/>
                <w:color w:val="000000" w:themeColor="text1"/>
              </w:rPr>
            </w:pPr>
            <w:r w:rsidRPr="00E92AED">
              <w:rPr>
                <w:rFonts w:cstheme="minorHAnsi"/>
                <w:color w:val="000000" w:themeColor="text1"/>
              </w:rPr>
              <w:t>WAPA</w:t>
            </w:r>
          </w:p>
        </w:tc>
        <w:tc>
          <w:tcPr>
            <w:tcW w:w="5035" w:type="dxa"/>
            <w:vAlign w:val="center"/>
          </w:tcPr>
          <w:p w14:paraId="548E4AAB" w14:textId="31D67A68" w:rsidR="00E92AED" w:rsidRPr="00E92AED" w:rsidRDefault="00E92AED" w:rsidP="00E92AED">
            <w:pPr>
              <w:rPr>
                <w:rFonts w:cstheme="minorHAnsi"/>
                <w:color w:val="000000" w:themeColor="text1"/>
              </w:rPr>
            </w:pPr>
            <w:r w:rsidRPr="00E92AED">
              <w:rPr>
                <w:rFonts w:cstheme="minorHAnsi"/>
              </w:rPr>
              <w:t>Western Area Power Administration</w:t>
            </w:r>
          </w:p>
        </w:tc>
      </w:tr>
    </w:tbl>
    <w:p w14:paraId="4808B6B8" w14:textId="77777777" w:rsidR="00FF18F8" w:rsidRPr="00D64948" w:rsidRDefault="00FF18F8" w:rsidP="00A21E6F">
      <w:pPr>
        <w:spacing w:before="120"/>
        <w:rPr>
          <w:color w:val="000000" w:themeColor="text1"/>
        </w:rPr>
      </w:pPr>
    </w:p>
    <w:sectPr w:rsidR="00FF18F8" w:rsidRPr="00D64948" w:rsidSect="0068155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E0449A" w14:textId="77777777" w:rsidR="0009430C" w:rsidRDefault="0009430C" w:rsidP="00D64948">
      <w:r>
        <w:separator/>
      </w:r>
    </w:p>
  </w:endnote>
  <w:endnote w:type="continuationSeparator" w:id="0">
    <w:p w14:paraId="2BD1551B" w14:textId="77777777" w:rsidR="0009430C" w:rsidRDefault="0009430C" w:rsidP="00D64948">
      <w:r>
        <w:continuationSeparator/>
      </w:r>
    </w:p>
  </w:endnote>
  <w:endnote w:type="continuationNotice" w:id="1">
    <w:p w14:paraId="4BE8B394" w14:textId="77777777" w:rsidR="0009430C" w:rsidRDefault="0009430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othic A1">
    <w:altName w:val="Malgun Gothic"/>
    <w:charset w:val="81"/>
    <w:family w:val="auto"/>
    <w:pitch w:val="variable"/>
    <w:sig w:usb0="F10002FF" w:usb1="59DFFDFB" w:usb2="00000034" w:usb3="00000000" w:csb0="00080001" w:csb1="00000000"/>
  </w:font>
  <w:font w:name="Calibri Light">
    <w:panose1 w:val="020F0302020204030204"/>
    <w:charset w:val="00"/>
    <w:family w:val="swiss"/>
    <w:pitch w:val="variable"/>
    <w:sig w:usb0="E4002EFF" w:usb1="C200247B" w:usb2="00000009" w:usb3="00000000" w:csb0="000001FF" w:csb1="00000000"/>
  </w:font>
  <w:font w:name="Gothic A1 Light">
    <w:altName w:val="Malgun Gothic"/>
    <w:charset w:val="81"/>
    <w:family w:val="auto"/>
    <w:pitch w:val="variable"/>
    <w:sig w:usb0="F10002FF" w:usb1="59DFFDFB" w:usb2="00000034"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69A1F2" w14:textId="77777777" w:rsidR="00C31A25" w:rsidRDefault="00C31A2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59556834"/>
      <w:docPartObj>
        <w:docPartGallery w:val="Page Numbers (Bottom of Page)"/>
        <w:docPartUnique/>
      </w:docPartObj>
    </w:sdtPr>
    <w:sdtEndPr>
      <w:rPr>
        <w:noProof/>
      </w:rPr>
    </w:sdtEndPr>
    <w:sdtContent>
      <w:p w14:paraId="702E116C" w14:textId="77777777" w:rsidR="00F021F0" w:rsidRDefault="00F021F0">
        <w:pPr>
          <w:pStyle w:val="Footer"/>
          <w:jc w:val="center"/>
        </w:pPr>
      </w:p>
      <w:tbl>
        <w:tblPr>
          <w:tblStyle w:val="TableGrid"/>
          <w:tblW w:w="9000" w:type="dxa"/>
          <w:jc w:val="center"/>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590"/>
          <w:gridCol w:w="4410"/>
        </w:tblGrid>
        <w:tr w:rsidR="00F021F0" w14:paraId="6089A915" w14:textId="77777777" w:rsidTr="000D64CB">
          <w:trPr>
            <w:trHeight w:val="858"/>
            <w:jc w:val="center"/>
          </w:trPr>
          <w:tc>
            <w:tcPr>
              <w:tcW w:w="4590" w:type="dxa"/>
              <w:shd w:val="clear" w:color="auto" w:fill="auto"/>
              <w:tcMar>
                <w:left w:w="0" w:type="dxa"/>
                <w:right w:w="0" w:type="dxa"/>
              </w:tcMar>
            </w:tcPr>
            <w:p w14:paraId="325F3F4A" w14:textId="77777777" w:rsidR="00F021F0" w:rsidRDefault="00F021F0" w:rsidP="00C64993">
              <w:pPr>
                <w:pStyle w:val="Footer"/>
                <w:jc w:val="right"/>
              </w:pPr>
              <w:r w:rsidRPr="00C64993">
                <w:fldChar w:fldCharType="begin"/>
              </w:r>
              <w:r w:rsidRPr="00C64993">
                <w:instrText xml:space="preserve"> PAGE   \* MERGEFORMAT </w:instrText>
              </w:r>
              <w:r w:rsidRPr="00C64993">
                <w:fldChar w:fldCharType="separate"/>
              </w:r>
              <w:r w:rsidR="00654748">
                <w:rPr>
                  <w:noProof/>
                </w:rPr>
                <w:t>2</w:t>
              </w:r>
              <w:r w:rsidRPr="00C64993">
                <w:rPr>
                  <w:noProof/>
                </w:rPr>
                <w:fldChar w:fldCharType="end"/>
              </w:r>
            </w:p>
          </w:tc>
          <w:tc>
            <w:tcPr>
              <w:tcW w:w="4410" w:type="dxa"/>
              <w:shd w:val="clear" w:color="auto" w:fill="auto"/>
              <w:tcMar>
                <w:left w:w="0" w:type="dxa"/>
                <w:right w:w="0" w:type="dxa"/>
              </w:tcMar>
            </w:tcPr>
            <w:p w14:paraId="0B0BD8D2" w14:textId="77777777" w:rsidR="00F021F0" w:rsidRDefault="00F021F0" w:rsidP="000F24F4">
              <w:pPr>
                <w:pStyle w:val="Footer"/>
                <w:jc w:val="right"/>
              </w:pPr>
              <w:r>
                <w:rPr>
                  <w:noProof/>
                </w:rPr>
                <w:drawing>
                  <wp:inline distT="0" distB="0" distL="0" distR="0" wp14:anchorId="64DA4D7C" wp14:editId="25DB863C">
                    <wp:extent cx="996696" cy="502920"/>
                    <wp:effectExtent l="0" t="0" r="0" b="0"/>
                    <wp:docPr id="9" name="Picture 9" descr="J:\aspen_logo_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aspen_logo_transparen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6696" cy="502920"/>
                            </a:xfrm>
                            <a:prstGeom prst="rect">
                              <a:avLst/>
                            </a:prstGeom>
                            <a:noFill/>
                            <a:ln>
                              <a:noFill/>
                            </a:ln>
                          </pic:spPr>
                        </pic:pic>
                      </a:graphicData>
                    </a:graphic>
                  </wp:inline>
                </w:drawing>
              </w:r>
            </w:p>
          </w:tc>
        </w:tr>
      </w:tbl>
      <w:p w14:paraId="1C287EB2" w14:textId="77777777" w:rsidR="00F021F0" w:rsidRPr="003D249D" w:rsidRDefault="00F021F0" w:rsidP="00C64993">
        <w:pPr>
          <w:pStyle w:val="Footer"/>
          <w:rPr>
            <w:sz w:val="2"/>
          </w:rPr>
        </w:pPr>
      </w:p>
      <w:p w14:paraId="58913400" w14:textId="77777777" w:rsidR="00F021F0" w:rsidRDefault="00B65391">
        <w:pPr>
          <w:pStyle w:val="Footer"/>
          <w:jc w:val="center"/>
        </w:pPr>
      </w:p>
    </w:sdtContent>
  </w:sdt>
  <w:p w14:paraId="5584CCD3" w14:textId="77777777" w:rsidR="00F021F0" w:rsidRDefault="00F021F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CFDF9" w14:textId="77777777" w:rsidR="00C31A25" w:rsidRDefault="00C31A2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72544600"/>
      <w:docPartObj>
        <w:docPartGallery w:val="Page Numbers (Bottom of Page)"/>
        <w:docPartUnique/>
      </w:docPartObj>
    </w:sdtPr>
    <w:sdtEndPr>
      <w:rPr>
        <w:noProof/>
      </w:rPr>
    </w:sdtEndPr>
    <w:sdtContent>
      <w:p w14:paraId="78A10FD0" w14:textId="77777777" w:rsidR="00654748" w:rsidRDefault="00654748">
        <w:pPr>
          <w:pStyle w:val="Footer"/>
          <w:jc w:val="center"/>
        </w:pPr>
      </w:p>
      <w:tbl>
        <w:tblPr>
          <w:tblStyle w:val="TableGrid"/>
          <w:tblW w:w="9000" w:type="dxa"/>
          <w:jc w:val="center"/>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590"/>
          <w:gridCol w:w="4410"/>
        </w:tblGrid>
        <w:tr w:rsidR="00654748" w14:paraId="33AFDE56" w14:textId="77777777" w:rsidTr="000D64CB">
          <w:trPr>
            <w:trHeight w:val="858"/>
            <w:jc w:val="center"/>
          </w:trPr>
          <w:tc>
            <w:tcPr>
              <w:tcW w:w="4590" w:type="dxa"/>
              <w:shd w:val="clear" w:color="auto" w:fill="auto"/>
              <w:tcMar>
                <w:left w:w="0" w:type="dxa"/>
                <w:right w:w="0" w:type="dxa"/>
              </w:tcMar>
            </w:tcPr>
            <w:p w14:paraId="55E8915A" w14:textId="77777777" w:rsidR="00654748" w:rsidRDefault="00654748" w:rsidP="00C64993">
              <w:pPr>
                <w:pStyle w:val="Footer"/>
                <w:jc w:val="right"/>
              </w:pPr>
              <w:r w:rsidRPr="00C64993">
                <w:fldChar w:fldCharType="begin"/>
              </w:r>
              <w:r w:rsidRPr="00C64993">
                <w:instrText xml:space="preserve"> PAGE   \* MERGEFORMAT </w:instrText>
              </w:r>
              <w:r w:rsidRPr="00C64993">
                <w:fldChar w:fldCharType="separate"/>
              </w:r>
              <w:r w:rsidR="00E81F2D">
                <w:rPr>
                  <w:noProof/>
                </w:rPr>
                <w:t>8</w:t>
              </w:r>
              <w:r w:rsidRPr="00C64993">
                <w:rPr>
                  <w:noProof/>
                </w:rPr>
                <w:fldChar w:fldCharType="end"/>
              </w:r>
            </w:p>
          </w:tc>
          <w:tc>
            <w:tcPr>
              <w:tcW w:w="4410" w:type="dxa"/>
              <w:shd w:val="clear" w:color="auto" w:fill="auto"/>
              <w:tcMar>
                <w:left w:w="0" w:type="dxa"/>
                <w:right w:w="0" w:type="dxa"/>
              </w:tcMar>
            </w:tcPr>
            <w:p w14:paraId="561D0E06" w14:textId="77777777" w:rsidR="00654748" w:rsidRDefault="00654748" w:rsidP="000F24F4">
              <w:pPr>
                <w:pStyle w:val="Footer"/>
                <w:jc w:val="right"/>
              </w:pPr>
              <w:r>
                <w:rPr>
                  <w:noProof/>
                </w:rPr>
                <w:drawing>
                  <wp:inline distT="0" distB="0" distL="0" distR="0" wp14:anchorId="71B96CC2" wp14:editId="718E3AD2">
                    <wp:extent cx="996696" cy="502920"/>
                    <wp:effectExtent l="0" t="0" r="0" b="0"/>
                    <wp:docPr id="6" name="Picture 6" descr="J:\aspen_logo_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aspen_logo_transparen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6696" cy="502920"/>
                            </a:xfrm>
                            <a:prstGeom prst="rect">
                              <a:avLst/>
                            </a:prstGeom>
                            <a:noFill/>
                            <a:ln>
                              <a:noFill/>
                            </a:ln>
                          </pic:spPr>
                        </pic:pic>
                      </a:graphicData>
                    </a:graphic>
                  </wp:inline>
                </w:drawing>
              </w:r>
            </w:p>
          </w:tc>
        </w:tr>
      </w:tbl>
      <w:p w14:paraId="7CF16121" w14:textId="77777777" w:rsidR="00654748" w:rsidRPr="003D249D" w:rsidRDefault="00654748" w:rsidP="00C64993">
        <w:pPr>
          <w:pStyle w:val="Footer"/>
          <w:rPr>
            <w:sz w:val="2"/>
          </w:rPr>
        </w:pPr>
      </w:p>
      <w:p w14:paraId="532831AA" w14:textId="77777777" w:rsidR="00654748" w:rsidRDefault="00B65391">
        <w:pPr>
          <w:pStyle w:val="Footer"/>
          <w:jc w:val="center"/>
        </w:pPr>
      </w:p>
    </w:sdtContent>
  </w:sdt>
  <w:p w14:paraId="48061834" w14:textId="77777777" w:rsidR="00654748" w:rsidRDefault="0065474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Ind w:w="-90"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675"/>
      <w:gridCol w:w="2185"/>
      <w:gridCol w:w="4590"/>
    </w:tblGrid>
    <w:tr w:rsidR="003C5DA4" w14:paraId="17DBF4D6" w14:textId="77777777" w:rsidTr="00DE157C">
      <w:tc>
        <w:tcPr>
          <w:tcW w:w="2675" w:type="dxa"/>
        </w:tcPr>
        <w:p w14:paraId="6A764562" w14:textId="77777777" w:rsidR="00DE157C" w:rsidRDefault="00DE157C" w:rsidP="00DE157C">
          <w:pPr>
            <w:pStyle w:val="Footer"/>
            <w:tabs>
              <w:tab w:val="clear" w:pos="4680"/>
            </w:tabs>
            <w:rPr>
              <w:rFonts w:ascii="Arial" w:eastAsia="Calibri" w:hAnsi="Arial" w:cs="Arial"/>
              <w:b/>
              <w:noProof/>
              <w:sz w:val="26"/>
              <w:szCs w:val="36"/>
            </w:rPr>
          </w:pPr>
        </w:p>
        <w:p w14:paraId="295B334A" w14:textId="06A1062B" w:rsidR="003C5DA4" w:rsidRPr="00FC7BEC" w:rsidRDefault="003C5DA4" w:rsidP="003C5DA4">
          <w:pPr>
            <w:pStyle w:val="Footer"/>
            <w:tabs>
              <w:tab w:val="clear" w:pos="4680"/>
            </w:tabs>
            <w:rPr>
              <w:rFonts w:ascii="Arial" w:eastAsia="Calibri" w:hAnsi="Arial" w:cs="Arial"/>
              <w:b/>
              <w:noProof/>
              <w:sz w:val="26"/>
              <w:szCs w:val="36"/>
            </w:rPr>
          </w:pPr>
          <w:r w:rsidRPr="00FC7BEC">
            <w:rPr>
              <w:rFonts w:ascii="Arial" w:eastAsia="Calibri" w:hAnsi="Arial" w:cs="Arial"/>
              <w:b/>
              <w:noProof/>
              <w:sz w:val="26"/>
              <w:szCs w:val="36"/>
            </w:rPr>
            <w:drawing>
              <wp:inline distT="0" distB="0" distL="0" distR="0" wp14:anchorId="300606C6" wp14:editId="723EACA6">
                <wp:extent cx="1218993" cy="472361"/>
                <wp:effectExtent l="0" t="0" r="635" b="4445"/>
                <wp:docPr id="1608040607" name="Picture 1608040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53356" name=""/>
                        <pic:cNvPicPr/>
                      </pic:nvPicPr>
                      <pic:blipFill>
                        <a:blip r:embed="rId1"/>
                        <a:stretch>
                          <a:fillRect/>
                        </a:stretch>
                      </pic:blipFill>
                      <pic:spPr>
                        <a:xfrm>
                          <a:off x="0" y="0"/>
                          <a:ext cx="1230583" cy="476852"/>
                        </a:xfrm>
                        <a:prstGeom prst="rect">
                          <a:avLst/>
                        </a:prstGeom>
                      </pic:spPr>
                    </pic:pic>
                  </a:graphicData>
                </a:graphic>
              </wp:inline>
            </w:drawing>
          </w:r>
        </w:p>
      </w:tc>
      <w:tc>
        <w:tcPr>
          <w:tcW w:w="2185" w:type="dxa"/>
          <w:shd w:val="clear" w:color="auto" w:fill="auto"/>
          <w:tcMar>
            <w:left w:w="0" w:type="dxa"/>
            <w:right w:w="0" w:type="dxa"/>
          </w:tcMar>
        </w:tcPr>
        <w:p w14:paraId="514466ED" w14:textId="77777777" w:rsidR="003C5DA4" w:rsidRDefault="003C5DA4" w:rsidP="003C5DA4">
          <w:pPr>
            <w:pStyle w:val="Footer"/>
            <w:tabs>
              <w:tab w:val="clear" w:pos="4680"/>
            </w:tabs>
            <w:jc w:val="right"/>
          </w:pPr>
        </w:p>
        <w:p w14:paraId="20E05C26" w14:textId="77777777" w:rsidR="003C5DA4" w:rsidRDefault="003C5DA4" w:rsidP="003C5DA4">
          <w:pPr>
            <w:pStyle w:val="Footer"/>
            <w:tabs>
              <w:tab w:val="clear" w:pos="4680"/>
            </w:tabs>
            <w:jc w:val="right"/>
          </w:pPr>
        </w:p>
        <w:p w14:paraId="1AFDC390" w14:textId="23DE43EB" w:rsidR="003C5DA4" w:rsidRDefault="003C5DA4" w:rsidP="00C34E49">
          <w:pPr>
            <w:pStyle w:val="Footer"/>
            <w:tabs>
              <w:tab w:val="clear" w:pos="4680"/>
            </w:tabs>
            <w:jc w:val="right"/>
          </w:pPr>
          <w:r w:rsidRPr="000D64CB">
            <w:fldChar w:fldCharType="begin"/>
          </w:r>
          <w:r w:rsidRPr="000D64CB">
            <w:instrText xml:space="preserve"> PAGE   \* MERGEFORMAT </w:instrText>
          </w:r>
          <w:r w:rsidRPr="000D64CB">
            <w:fldChar w:fldCharType="separate"/>
          </w:r>
          <w:r>
            <w:rPr>
              <w:noProof/>
            </w:rPr>
            <w:t>26</w:t>
          </w:r>
          <w:r w:rsidRPr="000D64CB">
            <w:rPr>
              <w:noProof/>
            </w:rPr>
            <w:fldChar w:fldCharType="end"/>
          </w:r>
        </w:p>
      </w:tc>
      <w:tc>
        <w:tcPr>
          <w:tcW w:w="4590" w:type="dxa"/>
          <w:shd w:val="clear" w:color="auto" w:fill="auto"/>
          <w:tcMar>
            <w:left w:w="0" w:type="dxa"/>
            <w:right w:w="0" w:type="dxa"/>
          </w:tcMar>
        </w:tcPr>
        <w:p w14:paraId="40E418CA" w14:textId="77777777" w:rsidR="00DE157C" w:rsidRDefault="00DE157C" w:rsidP="000F24F4">
          <w:pPr>
            <w:pStyle w:val="Footer"/>
            <w:jc w:val="right"/>
          </w:pPr>
        </w:p>
        <w:p w14:paraId="14443618" w14:textId="6E0B41B1" w:rsidR="003C5DA4" w:rsidRDefault="003C5DA4" w:rsidP="000F24F4">
          <w:pPr>
            <w:pStyle w:val="Footer"/>
            <w:jc w:val="right"/>
          </w:pPr>
          <w:r>
            <w:rPr>
              <w:noProof/>
            </w:rPr>
            <w:drawing>
              <wp:inline distT="0" distB="0" distL="0" distR="0" wp14:anchorId="25ADFFF1" wp14:editId="1F407DD8">
                <wp:extent cx="996696" cy="502920"/>
                <wp:effectExtent l="0" t="0" r="0" b="0"/>
                <wp:docPr id="39690923" name="Picture 39690923" descr="J:\aspen_logo_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aspen_logo_transparent.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96696" cy="502920"/>
                        </a:xfrm>
                        <a:prstGeom prst="rect">
                          <a:avLst/>
                        </a:prstGeom>
                        <a:noFill/>
                        <a:ln>
                          <a:noFill/>
                        </a:ln>
                      </pic:spPr>
                    </pic:pic>
                  </a:graphicData>
                </a:graphic>
              </wp:inline>
            </w:drawing>
          </w:r>
        </w:p>
      </w:tc>
    </w:tr>
  </w:tbl>
  <w:p w14:paraId="6C4C7F78" w14:textId="77777777" w:rsidR="00A21E6F" w:rsidRPr="003D249D" w:rsidRDefault="00A21E6F">
    <w:pPr>
      <w:pStyle w:val="Footer"/>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675"/>
      <w:gridCol w:w="4675"/>
    </w:tblGrid>
    <w:tr w:rsidR="00A21E6F" w14:paraId="6AEC03E6" w14:textId="77777777" w:rsidTr="000F24F4">
      <w:tc>
        <w:tcPr>
          <w:tcW w:w="4675" w:type="dxa"/>
          <w:shd w:val="clear" w:color="auto" w:fill="auto"/>
          <w:tcMar>
            <w:left w:w="0" w:type="dxa"/>
            <w:right w:w="0" w:type="dxa"/>
          </w:tcMar>
        </w:tcPr>
        <w:p w14:paraId="4FFA5B72" w14:textId="77777777" w:rsidR="00A21E6F" w:rsidRDefault="00A21E6F" w:rsidP="00C64993">
          <w:pPr>
            <w:pStyle w:val="Footer"/>
            <w:jc w:val="right"/>
          </w:pPr>
          <w:r w:rsidRPr="00C64993">
            <w:fldChar w:fldCharType="begin"/>
          </w:r>
          <w:r w:rsidRPr="00C64993">
            <w:instrText xml:space="preserve"> PAGE   \* MERGEFORMAT </w:instrText>
          </w:r>
          <w:r w:rsidRPr="00C64993">
            <w:fldChar w:fldCharType="separate"/>
          </w:r>
          <w:r>
            <w:rPr>
              <w:noProof/>
            </w:rPr>
            <w:t>23</w:t>
          </w:r>
          <w:r w:rsidRPr="00C64993">
            <w:rPr>
              <w:noProof/>
            </w:rPr>
            <w:fldChar w:fldCharType="end"/>
          </w:r>
        </w:p>
      </w:tc>
      <w:tc>
        <w:tcPr>
          <w:tcW w:w="4675" w:type="dxa"/>
          <w:shd w:val="clear" w:color="auto" w:fill="auto"/>
          <w:tcMar>
            <w:left w:w="0" w:type="dxa"/>
            <w:right w:w="0" w:type="dxa"/>
          </w:tcMar>
        </w:tcPr>
        <w:p w14:paraId="5292F5C9" w14:textId="77777777" w:rsidR="00A21E6F" w:rsidRDefault="00A21E6F" w:rsidP="000F24F4">
          <w:pPr>
            <w:pStyle w:val="Footer"/>
            <w:jc w:val="right"/>
          </w:pPr>
          <w:r>
            <w:rPr>
              <w:noProof/>
            </w:rPr>
            <w:drawing>
              <wp:inline distT="0" distB="0" distL="0" distR="0" wp14:anchorId="08289147" wp14:editId="175A010D">
                <wp:extent cx="996696" cy="502920"/>
                <wp:effectExtent l="0" t="0" r="0" b="0"/>
                <wp:docPr id="1484442936" name="Picture 1484442936" descr="J:\aspen_logo_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aspen_logo_transparen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6696" cy="502920"/>
                        </a:xfrm>
                        <a:prstGeom prst="rect">
                          <a:avLst/>
                        </a:prstGeom>
                        <a:noFill/>
                        <a:ln>
                          <a:noFill/>
                        </a:ln>
                      </pic:spPr>
                    </pic:pic>
                  </a:graphicData>
                </a:graphic>
              </wp:inline>
            </w:drawing>
          </w:r>
        </w:p>
      </w:tc>
    </w:tr>
  </w:tbl>
  <w:p w14:paraId="7B5E6D43" w14:textId="77777777" w:rsidR="00A21E6F" w:rsidRPr="003D249D" w:rsidRDefault="00A21E6F" w:rsidP="000F24F4">
    <w:pPr>
      <w:pStyle w:val="Footer"/>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29A65A" w14:textId="77777777" w:rsidR="0009430C" w:rsidRDefault="0009430C" w:rsidP="00D64948">
      <w:r>
        <w:separator/>
      </w:r>
    </w:p>
  </w:footnote>
  <w:footnote w:type="continuationSeparator" w:id="0">
    <w:p w14:paraId="52E53D68" w14:textId="77777777" w:rsidR="0009430C" w:rsidRDefault="0009430C" w:rsidP="00D64948">
      <w:r>
        <w:continuationSeparator/>
      </w:r>
    </w:p>
  </w:footnote>
  <w:footnote w:type="continuationNotice" w:id="1">
    <w:p w14:paraId="052F4F78" w14:textId="77777777" w:rsidR="0009430C" w:rsidRDefault="0009430C"/>
  </w:footnote>
  <w:footnote w:id="2">
    <w:p w14:paraId="186A0A9B" w14:textId="77777777" w:rsidR="009E1E45" w:rsidRDefault="009E1E45" w:rsidP="009E1E45">
      <w:pPr>
        <w:pStyle w:val="FootnoteText"/>
      </w:pPr>
      <w:r>
        <w:rPr>
          <w:rStyle w:val="FootnoteReference"/>
        </w:rPr>
        <w:footnoteRef/>
      </w:r>
      <w:r>
        <w:t xml:space="preserve">  The UAMPS data is “gross,” meaning that it is before accounting for transmission losses.</w:t>
      </w:r>
    </w:p>
  </w:footnote>
  <w:footnote w:id="3">
    <w:p w14:paraId="5429D8D3" w14:textId="39A6C877" w:rsidR="00DE157C" w:rsidRDefault="00DE157C" w:rsidP="00DE157C">
      <w:pPr>
        <w:pStyle w:val="FootnoteText"/>
      </w:pPr>
      <w:r>
        <w:rPr>
          <w:rStyle w:val="FootnoteReference"/>
        </w:rPr>
        <w:footnoteRef/>
      </w:r>
      <w:r>
        <w:t xml:space="preserve">  A time series is a series of data points organized in time order, earliest to latest.  </w:t>
      </w:r>
    </w:p>
  </w:footnote>
  <w:footnote w:id="4">
    <w:p w14:paraId="646FEC12" w14:textId="4E655053" w:rsidR="00DE157C" w:rsidRDefault="00DE157C" w:rsidP="00DE157C">
      <w:pPr>
        <w:pStyle w:val="FootnoteText"/>
      </w:pPr>
      <w:r w:rsidRPr="00BF23E9">
        <w:rPr>
          <w:rStyle w:val="FootnoteReference"/>
        </w:rPr>
        <w:footnoteRef/>
      </w:r>
      <w:r w:rsidRPr="00BF23E9">
        <w:t xml:space="preserve">  Aspen used </w:t>
      </w:r>
      <w:r w:rsidR="00451351">
        <w:t xml:space="preserve">a forecasting tool that </w:t>
      </w:r>
      <w:r w:rsidRPr="00BF23E9">
        <w:t xml:space="preserve">applies decision-tree logic to increase predictive ability, correcting the errors of the previous trees iteratively to yield a more accurate prediction.  </w:t>
      </w:r>
      <w:r>
        <w:t>Aspen’s implementation includes per capita income, month, hour, day of year, year, holidays, day of week, and quarter as predictive variables</w:t>
      </w:r>
      <w:r w:rsidR="00451351">
        <w:t xml:space="preserve"> to yield hourly load</w:t>
      </w:r>
      <w:r>
        <w:t>.</w:t>
      </w:r>
    </w:p>
  </w:footnote>
  <w:footnote w:id="5">
    <w:p w14:paraId="500CFE41" w14:textId="01F1EDF2" w:rsidR="00DE157C" w:rsidRDefault="00DE157C" w:rsidP="00DE157C">
      <w:pPr>
        <w:pStyle w:val="FootnoteText"/>
      </w:pPr>
      <w:r>
        <w:rPr>
          <w:rStyle w:val="FootnoteReference"/>
        </w:rPr>
        <w:footnoteRef/>
      </w:r>
      <w:r>
        <w:t xml:space="preserve"> </w:t>
      </w:r>
      <w:r w:rsidR="00451351">
        <w:t xml:space="preserve"> </w:t>
      </w:r>
      <w:r>
        <w:t>The nomenclature follows the CEC’s demand forecast where they create a “baseline” forecast before adding additional load modifiers and a “managed” forecast including the load modifiers for their Low, Mid, and High demand cases.</w:t>
      </w:r>
    </w:p>
  </w:footnote>
  <w:footnote w:id="6">
    <w:p w14:paraId="1D82E21A" w14:textId="4AB02546" w:rsidR="00DE157C" w:rsidRDefault="00DE157C" w:rsidP="00DE157C">
      <w:pPr>
        <w:pStyle w:val="FootnoteText"/>
      </w:pPr>
      <w:r>
        <w:rPr>
          <w:rStyle w:val="FootnoteReference"/>
        </w:rPr>
        <w:footnoteRef/>
      </w:r>
      <w:r>
        <w:t xml:space="preserve"> </w:t>
      </w:r>
      <w:r w:rsidR="00451351">
        <w:t xml:space="preserve"> </w:t>
      </w:r>
      <w:r>
        <w:t>Monthly load shapes are derived from TDPUD’s hourly AMI data for public charging load and solar generation or received kWh.  Generated a monthly profile based off weighted meter data.</w:t>
      </w:r>
    </w:p>
  </w:footnote>
  <w:footnote w:id="7">
    <w:p w14:paraId="4128B4CB" w14:textId="77777777" w:rsidR="00DE157C" w:rsidRDefault="00DE157C" w:rsidP="00DE157C">
      <w:pPr>
        <w:pStyle w:val="FootnoteText"/>
      </w:pPr>
      <w:r>
        <w:rPr>
          <w:rStyle w:val="FootnoteReference"/>
        </w:rPr>
        <w:footnoteRef/>
      </w:r>
      <w:r>
        <w:t xml:space="preserve">  This forecast is an </w:t>
      </w:r>
      <w:r w:rsidRPr="00A04D9F">
        <w:t>input into the IRP model</w:t>
      </w:r>
      <w:r>
        <w:t xml:space="preserve">, which assesses the </w:t>
      </w:r>
      <w:r w:rsidRPr="00A04D9F">
        <w:t>resources</w:t>
      </w:r>
      <w:r>
        <w:t xml:space="preserve"> needed</w:t>
      </w:r>
      <w:r w:rsidRPr="00A04D9F">
        <w:t xml:space="preserve"> to meet the load requirement.</w:t>
      </w:r>
    </w:p>
  </w:footnote>
  <w:footnote w:id="8">
    <w:p w14:paraId="33E3CECE" w14:textId="77777777" w:rsidR="00B63F59" w:rsidRDefault="00B63F59" w:rsidP="00B63F59">
      <w:pPr>
        <w:pStyle w:val="FootnoteText"/>
      </w:pPr>
      <w:r>
        <w:rPr>
          <w:rStyle w:val="FootnoteReference"/>
        </w:rPr>
        <w:footnoteRef/>
      </w:r>
      <w:r>
        <w:t xml:space="preserve"> The Twon of Truckee takes permit applications for solar PV installations.  There have been limited applications to date, and the Town of Truckee has updated guidelines for exemptions. See: </w:t>
      </w:r>
      <w:hyperlink r:id="rId1" w:history="1">
        <w:r w:rsidRPr="007766A1">
          <w:rPr>
            <w:rStyle w:val="Hyperlink"/>
          </w:rPr>
          <w:t>https://www.townoftruckee.com/government/community-development/building-and-safety/residential/project-scope/solar</w:t>
        </w:r>
      </w:hyperlink>
      <w:r>
        <w:t xml:space="preserve"> </w:t>
      </w:r>
    </w:p>
  </w:footnote>
  <w:footnote w:id="9">
    <w:p w14:paraId="69D59B6F" w14:textId="481010A7" w:rsidR="00DE157C" w:rsidRDefault="00DE157C" w:rsidP="00DE157C">
      <w:pPr>
        <w:pStyle w:val="FootnoteText"/>
      </w:pPr>
      <w:r>
        <w:rPr>
          <w:rStyle w:val="FootnoteReference"/>
        </w:rPr>
        <w:footnoteRef/>
      </w:r>
      <w:r>
        <w:t xml:space="preserve"> </w:t>
      </w:r>
      <w:r w:rsidR="00451351">
        <w:t xml:space="preserve"> </w:t>
      </w:r>
      <w:r>
        <w:t>For the forecast we consider Plug-in Electric Vehicles or PEVs as the DMV data and ICF Tahoe-Truckee PEV Readiness Plan both include plug-in hybrids and battery electric vehicles in their stock and trip data.</w:t>
      </w:r>
    </w:p>
  </w:footnote>
  <w:footnote w:id="10">
    <w:p w14:paraId="42B8EF47" w14:textId="62581016" w:rsidR="00DE157C" w:rsidRDefault="00DE157C" w:rsidP="00DE157C">
      <w:pPr>
        <w:pStyle w:val="FootnoteText"/>
      </w:pPr>
      <w:r>
        <w:rPr>
          <w:rStyle w:val="FootnoteReference"/>
        </w:rPr>
        <w:footnoteRef/>
      </w:r>
      <w:r w:rsidR="00451351">
        <w:t xml:space="preserve">  This uses </w:t>
      </w:r>
      <w:r>
        <w:t xml:space="preserve">a Bass Diffusion Curve and fit using expected market share from ICF’s Tahoe-Truckee PEV Readiness Plan.  ICF’s report included market share for mid, </w:t>
      </w:r>
      <w:r>
        <w:t>low and high case.</w:t>
      </w:r>
    </w:p>
  </w:footnote>
  <w:footnote w:id="11">
    <w:p w14:paraId="5478D437" w14:textId="06794711" w:rsidR="00A03B3E" w:rsidRDefault="00A03B3E">
      <w:pPr>
        <w:pStyle w:val="FootnoteText"/>
      </w:pPr>
      <w:r>
        <w:rPr>
          <w:rStyle w:val="FootnoteReference"/>
        </w:rPr>
        <w:footnoteRef/>
      </w:r>
      <w:r>
        <w:t xml:space="preserve"> DMV data is provided by zip code, and Aspen aggregated the relevant zip codes for Truckee to </w:t>
      </w:r>
      <w:r>
        <w:t>come up with historical PEV stock.</w:t>
      </w:r>
    </w:p>
  </w:footnote>
  <w:footnote w:id="12">
    <w:p w14:paraId="4BC05D98" w14:textId="77777777" w:rsidR="00DE157C" w:rsidRDefault="00DE157C" w:rsidP="00DE157C">
      <w:pPr>
        <w:pStyle w:val="FootnoteText"/>
      </w:pPr>
      <w:r>
        <w:rPr>
          <w:rStyle w:val="FootnoteReference"/>
        </w:rPr>
        <w:footnoteRef/>
      </w:r>
      <w:r>
        <w:t xml:space="preserve"> See page 20 for trip projections: </w:t>
      </w:r>
      <w:hyperlink r:id="rId2" w:history="1">
        <w:r w:rsidRPr="007766A1">
          <w:rPr>
            <w:rStyle w:val="Hyperlink"/>
          </w:rPr>
          <w:t>https://www.energy.ca.gov/sites/default/files/2021-05/CEC-600-2021-030.pdf</w:t>
        </w:r>
      </w:hyperlink>
      <w:r>
        <w:t xml:space="preserve"> </w:t>
      </w:r>
    </w:p>
  </w:footnote>
  <w:footnote w:id="13">
    <w:p w14:paraId="2DD37227" w14:textId="77777777" w:rsidR="00DE157C" w:rsidRDefault="00DE157C" w:rsidP="00DE157C">
      <w:pPr>
        <w:pStyle w:val="FootnoteText"/>
      </w:pPr>
      <w:r>
        <w:rPr>
          <w:rStyle w:val="FootnoteReference"/>
        </w:rPr>
        <w:footnoteRef/>
      </w:r>
      <w:r>
        <w:t xml:space="preserve"> The ICF Tahoe-Truckee PEV Readiness report cites the consumer preference for SUVs in Tahoe </w:t>
      </w:r>
      <w:r>
        <w:t xml:space="preserve">in order to navigate snowy roads.  See  page 35: </w:t>
      </w:r>
      <w:hyperlink r:id="rId3" w:history="1">
        <w:r w:rsidRPr="007766A1">
          <w:rPr>
            <w:rStyle w:val="Hyperlink"/>
          </w:rPr>
          <w:t>https://www.energy.ca.gov/sites/default/files/2021-05/CEC-600-2021-030.pdf</w:t>
        </w:r>
      </w:hyperlink>
      <w:r>
        <w:t xml:space="preserve"> </w:t>
      </w:r>
    </w:p>
  </w:footnote>
  <w:footnote w:id="14">
    <w:p w14:paraId="23CF0528" w14:textId="77777777" w:rsidR="00DE157C" w:rsidRDefault="00DE157C" w:rsidP="00DE157C">
      <w:pPr>
        <w:pStyle w:val="FootnoteText"/>
      </w:pPr>
      <w:r>
        <w:rPr>
          <w:rStyle w:val="FootnoteReference"/>
        </w:rPr>
        <w:footnoteRef/>
      </w:r>
      <w:r>
        <w:t xml:space="preserve"> While new EVs with AWD and 4WD will become available, there are still </w:t>
      </w:r>
      <w:r>
        <w:t xml:space="preserve">some limitations and downsides to battery efficiency at low temperatures that could limit use.  </w:t>
      </w:r>
      <w:r w:rsidRPr="00144FB3">
        <w:t>See:</w:t>
      </w:r>
      <w:r>
        <w:t xml:space="preserve"> </w:t>
      </w:r>
      <w:hyperlink r:id="rId4" w:history="1">
        <w:r w:rsidRPr="007766A1">
          <w:rPr>
            <w:rStyle w:val="Hyperlink"/>
          </w:rPr>
          <w:t>https://pubs.acs.org/doi/epdf/10.1021/es505621s</w:t>
        </w:r>
      </w:hyperlink>
      <w:r>
        <w:t xml:space="preserve"> </w:t>
      </w:r>
    </w:p>
  </w:footnote>
  <w:footnote w:id="15">
    <w:p w14:paraId="580591D7" w14:textId="4FB1FB99" w:rsidR="00DE157C" w:rsidRDefault="00DE157C" w:rsidP="00DE157C">
      <w:pPr>
        <w:pStyle w:val="FootnoteText"/>
      </w:pPr>
      <w:r>
        <w:rPr>
          <w:rStyle w:val="FootnoteReference"/>
        </w:rPr>
        <w:footnoteRef/>
      </w:r>
      <w:r>
        <w:t xml:space="preserve"> Aspen looked at potential volume of trucks moving through the Truckee corridor however, the volume of truck traffic </w:t>
      </w:r>
      <w:r>
        <w:t xml:space="preserve">likely exceeds the capacity and space requirement to charge these trucks. </w:t>
      </w:r>
      <w:r w:rsidR="00AD430B">
        <w:t xml:space="preserve"> Charging one of these tractor-trailers takes 1-2 hours and uses approximately 1 MW each hour.  </w:t>
      </w:r>
      <w:r>
        <w:t xml:space="preserve">This scenario assumes 4-6 MW </w:t>
      </w:r>
      <w:r w:rsidR="00AD430B">
        <w:t xml:space="preserve">worth of </w:t>
      </w:r>
      <w:r>
        <w:t>chargers operating at the same time</w:t>
      </w:r>
      <w:r w:rsidR="00AD430B">
        <w:t>.</w:t>
      </w:r>
      <w:r>
        <w:t xml:space="preserve"> </w:t>
      </w:r>
      <w:r w:rsidR="00AD430B">
        <w:t xml:space="preserve"> This would accommodate 50 to 100 trucks per day. </w:t>
      </w:r>
      <w:r>
        <w:t xml:space="preserve"> See article on Charging Specs: </w:t>
      </w:r>
      <w:hyperlink r:id="rId5" w:history="1">
        <w:r w:rsidRPr="007766A1">
          <w:rPr>
            <w:rStyle w:val="Hyperlink"/>
          </w:rPr>
          <w:t>https://www.ptolemus.com/insight/is-tesla-semi-a-game-changer-part-1-tesla-semi-versus-other-electric-trucks/</w:t>
        </w:r>
      </w:hyperlink>
      <w:r>
        <w:t xml:space="preserve"> </w:t>
      </w:r>
    </w:p>
  </w:footnote>
  <w:footnote w:id="16">
    <w:p w14:paraId="68B8DBCA" w14:textId="77777777" w:rsidR="00DE157C" w:rsidRDefault="00DE157C" w:rsidP="00DE157C">
      <w:pPr>
        <w:pStyle w:val="FootnoteText"/>
      </w:pPr>
      <w:r>
        <w:rPr>
          <w:rStyle w:val="FootnoteReference"/>
        </w:rPr>
        <w:footnoteRef/>
      </w:r>
      <w:r>
        <w:t xml:space="preserve"> PG&amp;E states that compared to a mixed fuel home with two ICE vehicles, an all-electric home with two EVs doubles electricity consumption for the home. See: </w:t>
      </w:r>
      <w:hyperlink r:id="rId6" w:history="1">
        <w:r w:rsidRPr="007766A1">
          <w:rPr>
            <w:rStyle w:val="Hyperlink"/>
          </w:rPr>
          <w:t>https://www.energy.ca.gov/data-reports/reports/integrated-energy-policy-report/2023-integrated-energy-policy-report/2023-0</w:t>
        </w:r>
      </w:hyperlink>
      <w:r>
        <w:t xml:space="preserve"> </w:t>
      </w:r>
    </w:p>
  </w:footnote>
  <w:footnote w:id="17">
    <w:p w14:paraId="16D4C9CC" w14:textId="77777777" w:rsidR="00DE157C" w:rsidRDefault="00DE157C" w:rsidP="00DE157C">
      <w:pPr>
        <w:pStyle w:val="FootnoteText"/>
      </w:pPr>
      <w:r>
        <w:rPr>
          <w:rStyle w:val="FootnoteReference"/>
        </w:rPr>
        <w:footnoteRef/>
      </w:r>
      <w:r>
        <w:t xml:space="preserve"> This case assumes a market share of 18,000 EVs in Truckee and utilizes the same NREL load profile for charging.</w:t>
      </w:r>
    </w:p>
  </w:footnote>
  <w:footnote w:id="18">
    <w:p w14:paraId="6630A464" w14:textId="77777777" w:rsidR="00DE157C" w:rsidRDefault="00DE157C" w:rsidP="00DE157C">
      <w:pPr>
        <w:pStyle w:val="FootnoteText"/>
      </w:pPr>
      <w:r>
        <w:rPr>
          <w:rStyle w:val="FootnoteReference"/>
        </w:rPr>
        <w:footnoteRef/>
      </w:r>
      <w:r>
        <w:t xml:space="preserve"> The CEC uses the IOU and POU reported program savings </w:t>
      </w:r>
      <w:r>
        <w:t xml:space="preserve">in order to produce the statewide demand forecast for California.  See CMUA’s annual reports here: </w:t>
      </w:r>
      <w:hyperlink r:id="rId7" w:history="1">
        <w:r w:rsidRPr="005C40A0">
          <w:rPr>
            <w:rStyle w:val="Hyperlink"/>
          </w:rPr>
          <w:t>https://www.cmua.org/sb1037-reports</w:t>
        </w:r>
      </w:hyperlink>
      <w:r>
        <w:t xml:space="preserve"> </w:t>
      </w:r>
    </w:p>
  </w:footnote>
  <w:footnote w:id="19">
    <w:p w14:paraId="18E7F1E6" w14:textId="7DB4312E" w:rsidR="00DE157C" w:rsidRDefault="00DE157C" w:rsidP="00DE157C">
      <w:pPr>
        <w:pStyle w:val="FootnoteText"/>
      </w:pPr>
      <w:r>
        <w:rPr>
          <w:rStyle w:val="FootnoteReference"/>
        </w:rPr>
        <w:footnoteRef/>
      </w:r>
      <w:r>
        <w:t xml:space="preserve"> </w:t>
      </w:r>
      <w:r w:rsidR="0092655A">
        <w:t xml:space="preserve"> </w:t>
      </w:r>
      <w:r>
        <w:t xml:space="preserve">How the study reached </w:t>
      </w:r>
      <w:r>
        <w:t>a nearly opposite conclusion for the District versus other utilities covered in it is unclear.</w:t>
      </w:r>
    </w:p>
  </w:footnote>
  <w:footnote w:id="20">
    <w:p w14:paraId="14E3E4DC" w14:textId="77777777" w:rsidR="00DE157C" w:rsidRDefault="00DE157C" w:rsidP="00DE157C">
      <w:pPr>
        <w:pStyle w:val="FootnoteText"/>
      </w:pPr>
      <w:r>
        <w:rPr>
          <w:rStyle w:val="FootnoteReference"/>
        </w:rPr>
        <w:footnoteRef/>
      </w:r>
      <w:r>
        <w:t xml:space="preserve"> The </w:t>
      </w:r>
      <w:hyperlink r:id="rId8" w:anchor=":~:text=The%20California%20Building%20Decarbonization%20Assessment%20is%20the%20initial,strategies%20that%20will%20lead%20to%20significant%20emission%20reductions." w:history="1">
        <w:r w:rsidRPr="0065798A">
          <w:rPr>
            <w:rStyle w:val="Hyperlink"/>
          </w:rPr>
          <w:t>CEC Building Decarbonization Assessment</w:t>
        </w:r>
      </w:hyperlink>
      <w:r>
        <w:t xml:space="preserve"> reports moving from aggressive electrification to efficient electrification will cost 5% more in total net cost, but decreases incremental grid demand by 17% or 8,000 GWh.</w:t>
      </w:r>
    </w:p>
  </w:footnote>
  <w:footnote w:id="21">
    <w:p w14:paraId="05CF7A28" w14:textId="77777777" w:rsidR="00DE157C" w:rsidRDefault="00DE157C" w:rsidP="00DE157C">
      <w:pPr>
        <w:pStyle w:val="FootnoteText"/>
      </w:pPr>
      <w:r>
        <w:rPr>
          <w:rStyle w:val="FootnoteReference"/>
        </w:rPr>
        <w:footnoteRef/>
      </w:r>
      <w:r>
        <w:t xml:space="preserve"> Further detail on spending estimates and EE and electrification cost assumptions are included in the appendix.</w:t>
      </w:r>
    </w:p>
  </w:footnote>
  <w:footnote w:id="22">
    <w:p w14:paraId="0E045355" w14:textId="78402529" w:rsidR="005436C4" w:rsidRDefault="005436C4">
      <w:pPr>
        <w:pStyle w:val="FootnoteText"/>
      </w:pPr>
      <w:r>
        <w:rPr>
          <w:rStyle w:val="FootnoteReference"/>
        </w:rPr>
        <w:footnoteRef/>
      </w:r>
      <w:r>
        <w:t xml:space="preserve"> See Appendix A for the District’s compliance with the State RPS goals.</w:t>
      </w:r>
    </w:p>
  </w:footnote>
  <w:footnote w:id="23">
    <w:p w14:paraId="2B8388B1" w14:textId="01919195" w:rsidR="00401A84" w:rsidRDefault="00401A84">
      <w:pPr>
        <w:pStyle w:val="FootnoteText"/>
      </w:pPr>
      <w:r>
        <w:rPr>
          <w:rStyle w:val="FootnoteReference"/>
        </w:rPr>
        <w:footnoteRef/>
      </w:r>
      <w:r>
        <w:t xml:space="preserve"> </w:t>
      </w:r>
      <w:r w:rsidRPr="00401A84">
        <w:t>Round-trip efficiency is the percentage of electricity put into storage that is later retrieved. The higher the round-trip efficiency, the less energy is lost in the storage process.</w:t>
      </w:r>
    </w:p>
  </w:footnote>
  <w:footnote w:id="24">
    <w:p w14:paraId="064FA267" w14:textId="61CE05CC" w:rsidR="00401A84" w:rsidRDefault="00401A84">
      <w:pPr>
        <w:pStyle w:val="FootnoteText"/>
      </w:pPr>
      <w:r>
        <w:rPr>
          <w:rStyle w:val="FootnoteReference"/>
        </w:rPr>
        <w:footnoteRef/>
      </w:r>
      <w:r>
        <w:t xml:space="preserve"> </w:t>
      </w:r>
      <w:r w:rsidRPr="00401A84">
        <w:t>https://www.nuscalepower.com/en/news/press-releases/2023/uamps-and-nuscale-power-agree-to-terminate-the-carbon-free-power-project</w:t>
      </w:r>
    </w:p>
  </w:footnote>
  <w:footnote w:id="25">
    <w:p w14:paraId="621DFE7F" w14:textId="04386536" w:rsidR="00BB4497" w:rsidRDefault="00BB4497">
      <w:pPr>
        <w:pStyle w:val="FootnoteText"/>
      </w:pPr>
      <w:r>
        <w:rPr>
          <w:rStyle w:val="FootnoteReference"/>
        </w:rPr>
        <w:footnoteRef/>
      </w:r>
      <w:r>
        <w:t xml:space="preserve"> Assumed to be 15%</w:t>
      </w:r>
      <w:r w:rsidR="009E3DFF">
        <w:t xml:space="preserve"> for this IRP</w:t>
      </w:r>
      <w:r>
        <w:t>.</w:t>
      </w:r>
    </w:p>
  </w:footnote>
  <w:footnote w:id="26">
    <w:p w14:paraId="26B51491" w14:textId="0DF44295" w:rsidR="00BB4497" w:rsidRDefault="00BB4497">
      <w:pPr>
        <w:pStyle w:val="FootnoteText"/>
      </w:pPr>
      <w:r>
        <w:rPr>
          <w:rStyle w:val="FootnoteReference"/>
        </w:rPr>
        <w:footnoteRef/>
      </w:r>
      <w:r>
        <w:t xml:space="preserve"> </w:t>
      </w:r>
      <w:r w:rsidR="009E3DFF">
        <w:t xml:space="preserve">California Public Utilities Code Section 9620 requires local publicly owned utilities to meet a minimum planning reserve margin set by the Western Electricity Coordinating </w:t>
      </w:r>
      <w:r w:rsidR="009E3DFF">
        <w:t>Council.</w:t>
      </w:r>
      <w:r w:rsidRPr="00BB4497">
        <w:t>.</w:t>
      </w:r>
    </w:p>
  </w:footnote>
  <w:footnote w:id="27">
    <w:p w14:paraId="57600EF7" w14:textId="6A1B6E93" w:rsidR="00B97E89" w:rsidRDefault="00B97E89">
      <w:pPr>
        <w:pStyle w:val="FootnoteText"/>
      </w:pPr>
      <w:r>
        <w:rPr>
          <w:rStyle w:val="FootnoteReference"/>
        </w:rPr>
        <w:footnoteRef/>
      </w:r>
      <w:r>
        <w:t xml:space="preserve"> </w:t>
      </w:r>
      <w:r w:rsidRPr="00B97E89">
        <w:t xml:space="preserve">RECs are units that represent the clean energy created by specific renewable sources, </w:t>
      </w:r>
      <w:r w:rsidR="00880B37">
        <w:t>such as</w:t>
      </w:r>
      <w:r w:rsidRPr="00B97E89">
        <w:t xml:space="preserve"> solar energy </w:t>
      </w:r>
      <w:r w:rsidR="00880B37">
        <w:t>resources</w:t>
      </w:r>
      <w:r w:rsidRPr="00B97E89">
        <w:t xml:space="preserve"> and wind </w:t>
      </w:r>
      <w:r w:rsidR="00880B37">
        <w:t>energy resources</w:t>
      </w:r>
      <w:r w:rsidRPr="00B97E89">
        <w:t>. One REC represents one megawatt-hour (MWh) of energy produced a by a renewable energy source.</w:t>
      </w:r>
    </w:p>
  </w:footnote>
  <w:footnote w:id="28">
    <w:p w14:paraId="0382F072" w14:textId="241A9080" w:rsidR="004D650C" w:rsidRDefault="004D650C">
      <w:pPr>
        <w:pStyle w:val="FootnoteText"/>
      </w:pPr>
      <w:r>
        <w:rPr>
          <w:rStyle w:val="FootnoteReference"/>
        </w:rPr>
        <w:footnoteRef/>
      </w:r>
      <w:r>
        <w:t xml:space="preserve"> Recognizing the constraints on the ability to obtain REC revenues, when the District is net long, we assumed a monthly $100,000 </w:t>
      </w:r>
      <w:r w:rsidR="001F1672">
        <w:t xml:space="preserve">net </w:t>
      </w:r>
      <w:r>
        <w:t xml:space="preserve">REC </w:t>
      </w:r>
      <w:r w:rsidR="001F1672">
        <w:t xml:space="preserve">sale </w:t>
      </w:r>
      <w:r>
        <w:t>revenue cap.</w:t>
      </w:r>
    </w:p>
  </w:footnote>
  <w:footnote w:id="29">
    <w:p w14:paraId="5F02EA74" w14:textId="77777777" w:rsidR="00033008" w:rsidRDefault="00033008" w:rsidP="00033008">
      <w:pPr>
        <w:pStyle w:val="FootnoteText"/>
      </w:pPr>
      <w:r>
        <w:rPr>
          <w:rStyle w:val="FootnoteReference"/>
        </w:rPr>
        <w:footnoteRef/>
      </w:r>
      <w:r>
        <w:t xml:space="preserve"> City of Palo Alto, 2018 Electric Integrated Resource Plan, PacifiCorp 2023 Integrated Resource Plan</w:t>
      </w:r>
    </w:p>
    <w:p w14:paraId="0B2246EE" w14:textId="149445A3" w:rsidR="00AC2745" w:rsidRDefault="00033008" w:rsidP="00AC2745">
      <w:pPr>
        <w:pStyle w:val="FootnoteText"/>
      </w:pPr>
      <w:r>
        <w:t>Volume I, March 31, 2023.</w:t>
      </w:r>
      <w:r w:rsidR="00AC2745">
        <w:t xml:space="preserve"> Also, see “Training on Integrated Resource Planning for</w:t>
      </w:r>
    </w:p>
    <w:p w14:paraId="084E2E1F" w14:textId="0406A443" w:rsidR="00033008" w:rsidRDefault="00AC2745" w:rsidP="00AC2745">
      <w:pPr>
        <w:pStyle w:val="FootnoteText"/>
      </w:pPr>
      <w:r>
        <w:t xml:space="preserve">South Carolina Office of Regulatory Staff,” located at </w:t>
      </w:r>
      <w:hyperlink r:id="rId9" w:history="1">
        <w:r w:rsidRPr="00EC0807">
          <w:rPr>
            <w:rStyle w:val="Hyperlink"/>
          </w:rPr>
          <w:t>https://eta-publications.lbl.gov/sites/default/files/conducting_a_technical_review_of_an_irp.pdf</w:t>
        </w:r>
      </w:hyperlink>
      <w:r>
        <w:t xml:space="preserve"> </w:t>
      </w:r>
    </w:p>
  </w:footnote>
  <w:footnote w:id="30">
    <w:p w14:paraId="1DBD7459" w14:textId="3142836F" w:rsidR="0022689F" w:rsidRDefault="0022689F">
      <w:pPr>
        <w:pStyle w:val="FootnoteText"/>
      </w:pPr>
      <w:r>
        <w:rPr>
          <w:rStyle w:val="FootnoteReference"/>
        </w:rPr>
        <w:footnoteRef/>
      </w:r>
      <w:r>
        <w:t xml:space="preserve"> </w:t>
      </w:r>
      <w:r w:rsidR="00A47030">
        <w:t>Battery storage typically charges during the early and late morning hours and discharges during the late evening hours when the net load (load net of solar generation) is the highest during the day.</w:t>
      </w:r>
    </w:p>
  </w:footnote>
  <w:footnote w:id="31">
    <w:p w14:paraId="07F3C85B" w14:textId="5C6CA0E0" w:rsidR="00AD68B3" w:rsidRDefault="00AD68B3">
      <w:pPr>
        <w:pStyle w:val="FootnoteText"/>
      </w:pPr>
      <w:r>
        <w:rPr>
          <w:rStyle w:val="FootnoteReference"/>
        </w:rPr>
        <w:footnoteRef/>
      </w:r>
      <w:r>
        <w:t xml:space="preserve"> The performance for the remaining three portfolios </w:t>
      </w:r>
      <w:r>
        <w:t>are provided in Appendix B.</w:t>
      </w:r>
    </w:p>
  </w:footnote>
  <w:footnote w:id="32">
    <w:p w14:paraId="76D9C16F" w14:textId="2357202F" w:rsidR="00810CE7" w:rsidRDefault="00810CE7">
      <w:pPr>
        <w:pStyle w:val="FootnoteText"/>
      </w:pPr>
      <w:r>
        <w:rPr>
          <w:rStyle w:val="FootnoteReference"/>
        </w:rPr>
        <w:footnoteRef/>
      </w:r>
      <w:r>
        <w:t xml:space="preserve"> See </w:t>
      </w:r>
      <w:hyperlink r:id="rId10" w:history="1">
        <w:r w:rsidRPr="00EC0807">
          <w:rPr>
            <w:rStyle w:val="Hyperlink"/>
          </w:rPr>
          <w:t>https://www.universityofcalifornia.edu/news/renewable-clean-hydrogen-power-coming-california-heres-what-you-need-know</w:t>
        </w:r>
      </w:hyperlink>
      <w:r>
        <w:t xml:space="preserve">  </w:t>
      </w:r>
    </w:p>
  </w:footnote>
  <w:footnote w:id="33">
    <w:p w14:paraId="6D2472A6" w14:textId="546B015A" w:rsidR="00AD68B3" w:rsidRDefault="00AD68B3" w:rsidP="00AD68B3">
      <w:pPr>
        <w:pStyle w:val="FootnoteText"/>
      </w:pPr>
      <w:r>
        <w:rPr>
          <w:rStyle w:val="FootnoteReference"/>
        </w:rPr>
        <w:footnoteRef/>
      </w:r>
      <w:r>
        <w:t xml:space="preserve"> The tornado diagrams for the remaining three portfolios are provided in Appendix B.</w:t>
      </w:r>
    </w:p>
  </w:footnote>
  <w:footnote w:id="34">
    <w:p w14:paraId="6CE1D6AB" w14:textId="77777777" w:rsidR="001B3915" w:rsidRPr="001C1ACD" w:rsidRDefault="001B3915" w:rsidP="001B3915">
      <w:pPr>
        <w:pStyle w:val="FootnoteText"/>
      </w:pPr>
      <w:r>
        <w:rPr>
          <w:rStyle w:val="FootnoteReference"/>
        </w:rPr>
        <w:footnoteRef/>
      </w:r>
      <w:r>
        <w:t xml:space="preserve"> </w:t>
      </w:r>
      <w:r w:rsidRPr="001C1ACD">
        <w:t xml:space="preserve">The Tahoe-Truckee Readiness Plan provides market share estimates for a low, </w:t>
      </w:r>
      <w:r w:rsidRPr="001C1ACD">
        <w:t>medium and high case which translates to the District low, medium and high load forecast scenarios.</w:t>
      </w:r>
    </w:p>
  </w:footnote>
  <w:footnote w:id="35">
    <w:p w14:paraId="2EF550C3" w14:textId="77777777" w:rsidR="001B3915" w:rsidRPr="001C1ACD" w:rsidRDefault="001B3915" w:rsidP="001B3915">
      <w:pPr>
        <w:pStyle w:val="FootnoteText"/>
      </w:pPr>
      <w:r w:rsidRPr="001C1ACD">
        <w:rPr>
          <w:rStyle w:val="FootnoteReference"/>
        </w:rPr>
        <w:footnoteRef/>
      </w:r>
      <w:r w:rsidRPr="001C1ACD">
        <w:t xml:space="preserve"> The current and historical plug-in electric vehicle data is sourced via DMV data for the relevant Truckee zip codes.  This gives a count and trend line basis for estimating vehicle ownership by fuel type in the forecast period. CA DMV Vehicles by </w:t>
      </w:r>
      <w:r>
        <w:t>f</w:t>
      </w:r>
      <w:r w:rsidRPr="001C1ACD">
        <w:t xml:space="preserve">uel type and </w:t>
      </w:r>
      <w:r>
        <w:t>z</w:t>
      </w:r>
      <w:r w:rsidRPr="001C1ACD">
        <w:t xml:space="preserve">ip code: </w:t>
      </w:r>
      <w:hyperlink r:id="rId11" w:history="1">
        <w:r w:rsidRPr="001C1ACD">
          <w:rPr>
            <w:rStyle w:val="Hyperlink"/>
          </w:rPr>
          <w:t>https://data.ca.gov/dataset/vehicle-fuel-type-count-by-zip-code</w:t>
        </w:r>
      </w:hyperlink>
      <w:r w:rsidRPr="001C1ACD">
        <w:t xml:space="preserve"> </w:t>
      </w:r>
    </w:p>
  </w:footnote>
  <w:footnote w:id="36">
    <w:p w14:paraId="14281F63" w14:textId="77777777" w:rsidR="001B3915" w:rsidRDefault="001B3915" w:rsidP="001B3915">
      <w:pPr>
        <w:pStyle w:val="FootnoteText"/>
      </w:pPr>
      <w:r>
        <w:rPr>
          <w:rStyle w:val="FootnoteReference"/>
        </w:rPr>
        <w:footnoteRef/>
      </w:r>
      <w:r>
        <w:t xml:space="preserve"> </w:t>
      </w:r>
    </w:p>
  </w:footnote>
  <w:footnote w:id="37">
    <w:p w14:paraId="6248C492" w14:textId="77777777" w:rsidR="001B3915" w:rsidRDefault="001B3915" w:rsidP="001B3915">
      <w:pPr>
        <w:pStyle w:val="BodyText"/>
        <w:spacing w:before="0"/>
      </w:pPr>
      <w:r w:rsidRPr="001C1ACD">
        <w:rPr>
          <w:rStyle w:val="FootnoteReference"/>
          <w:sz w:val="20"/>
          <w:szCs w:val="20"/>
        </w:rPr>
        <w:footnoteRef/>
      </w:r>
      <w:r w:rsidRPr="001C1ACD">
        <w:rPr>
          <w:sz w:val="20"/>
          <w:szCs w:val="20"/>
        </w:rPr>
        <w:t xml:space="preserve"> The LDV EV load profile is estimated using the EVI-Pro Lite tool which provides charging profiles for residential LDV PEVs for </w:t>
      </w:r>
      <w:r w:rsidRPr="001C1ACD">
        <w:rPr>
          <w:sz w:val="20"/>
          <w:szCs w:val="20"/>
        </w:rPr>
        <w:t xml:space="preserve">1000 cars on a 15-minute basis.  The load profile was aggregated to hourly kWh/vehicle. The EVI-Pro Lite tool was developed under a collaborative effort by NREL, CEC, DOE funding and LBNL: </w:t>
      </w:r>
      <w:hyperlink r:id="rId12" w:history="1">
        <w:r w:rsidRPr="001C1ACD">
          <w:rPr>
            <w:rStyle w:val="Hyperlink"/>
            <w:sz w:val="20"/>
            <w:szCs w:val="20"/>
          </w:rPr>
          <w:t>https://afdc.energy.gov/evi-pro-lite</w:t>
        </w:r>
      </w:hyperlink>
    </w:p>
  </w:footnote>
  <w:footnote w:id="38">
    <w:p w14:paraId="48D66A96" w14:textId="2A11BB3F" w:rsidR="00EE61B5" w:rsidRDefault="00EE61B5">
      <w:pPr>
        <w:pStyle w:val="FootnoteText"/>
      </w:pPr>
      <w:r>
        <w:rPr>
          <w:rStyle w:val="FootnoteReference"/>
        </w:rPr>
        <w:footnoteRef/>
      </w:r>
      <w:r>
        <w:t xml:space="preserve"> Aspen sourced </w:t>
      </w:r>
      <w:r w:rsidR="002B44AF">
        <w:t xml:space="preserve">truck traffic data from Cal Trans which gives the Annual Average Daily Truck Traffic by highway. </w:t>
      </w:r>
      <w:r w:rsidR="002B44AF">
        <w:t xml:space="preserve">See : </w:t>
      </w:r>
      <w:hyperlink r:id="rId13" w:history="1">
        <w:r w:rsidR="002B44AF" w:rsidRPr="00344786">
          <w:rPr>
            <w:rStyle w:val="Hyperlink"/>
          </w:rPr>
          <w:t>https://dot.ca.gov/programs/traffic-operations/census</w:t>
        </w:r>
      </w:hyperlink>
      <w:r w:rsidR="002B44AF">
        <w:t xml:space="preserve">. </w:t>
      </w:r>
      <w:r>
        <w:t xml:space="preserve"> </w:t>
      </w:r>
    </w:p>
  </w:footnote>
  <w:footnote w:id="39">
    <w:p w14:paraId="7F42F475" w14:textId="7A4B3495" w:rsidR="002B44AF" w:rsidRDefault="002B44AF">
      <w:pPr>
        <w:pStyle w:val="FootnoteText"/>
      </w:pPr>
      <w:r>
        <w:rPr>
          <w:rStyle w:val="FootnoteReference"/>
        </w:rPr>
        <w:footnoteRef/>
      </w:r>
      <w:r>
        <w:t xml:space="preserve"> This is assuming the largest truck under development with the largest charging capability </w:t>
      </w:r>
      <w:r>
        <w:t xml:space="preserve">in order to serve all trucks through the Truckee corridor. See article for example charging specs: </w:t>
      </w:r>
      <w:hyperlink r:id="rId14" w:history="1">
        <w:r w:rsidRPr="007766A1">
          <w:rPr>
            <w:rStyle w:val="Hyperlink"/>
          </w:rPr>
          <w:t>https://www.ptolemus.com/insight/is-tesla-semi-a-game-changer-part-1-tesla-semi-versus-other-electric-trucks/</w:t>
        </w:r>
      </w:hyperlink>
    </w:p>
  </w:footnote>
  <w:footnote w:id="40">
    <w:p w14:paraId="1C32A517" w14:textId="65A2BE27" w:rsidR="004F51E9" w:rsidRDefault="004F51E9">
      <w:pPr>
        <w:pStyle w:val="FootnoteText"/>
      </w:pPr>
      <w:r>
        <w:rPr>
          <w:rStyle w:val="FootnoteReference"/>
        </w:rPr>
        <w:footnoteRef/>
      </w:r>
      <w:r>
        <w:t xml:space="preserve"> The California Transportation Commission released a study detailing potential truck charging costs for station developments, road maintenance and statewide estimates for zero-emissions freight stations needed.  See: </w:t>
      </w:r>
      <w:hyperlink r:id="rId15" w:history="1">
        <w:r w:rsidRPr="00344786">
          <w:rPr>
            <w:rStyle w:val="Hyperlink"/>
          </w:rPr>
          <w:t>https://catc.ca.gov/-/media/ctc-media/documents/ctc-workshops/2023/063023-draft-sb671-assessment-technical-memorandum-a11y.pdf</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C5F342" w14:textId="648EF72A" w:rsidR="00C31A25" w:rsidRDefault="00B65391">
    <w:pPr>
      <w:pStyle w:val="Header"/>
    </w:pPr>
    <w:r>
      <w:rPr>
        <w:noProof/>
      </w:rPr>
      <w:pict w14:anchorId="4616678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3389829" o:spid="_x0000_s1028" type="#_x0000_t136" style="position:absolute;margin-left:0;margin-top:0;width:412.4pt;height:247.45pt;rotation:315;z-index:-251655168;mso-position-horizontal:center;mso-position-horizontal-relative:margin;mso-position-vertical:center;mso-position-vertical-relative:margin" o:allowincell="f" fillcolor="silver" stroked="f">
          <v:fill opacity=".5"/>
          <v:textpath style="font-family:&quot;Calibri&quot;;font-size:1pt" string="DRAFT"/>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34D949" w14:textId="3CD6EFB3" w:rsidR="00F021F0" w:rsidRDefault="00B65391" w:rsidP="00D64948">
    <w:r>
      <w:rPr>
        <w:noProof/>
      </w:rPr>
      <w:pict w14:anchorId="7F92C68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3389830" o:spid="_x0000_s1029" type="#_x0000_t136" style="position:absolute;margin-left:0;margin-top:0;width:412.4pt;height:247.45pt;rotation:315;z-index:-251653120;mso-position-horizontal:center;mso-position-horizontal-relative:margin;mso-position-vertical:center;mso-position-vertical-relative:margin" o:allowincell="f" fillcolor="silver" stroked="f">
          <v:fill opacity=".5"/>
          <v:textpath style="font-family:&quot;Calibri&quot;;font-size:1pt" string="DRAFT"/>
        </v:shape>
      </w:pict>
    </w:r>
    <w:r w:rsidR="00996352">
      <w:t>Truckee Donner Public Utility District</w:t>
    </w:r>
  </w:p>
  <w:p w14:paraId="66A376BC" w14:textId="77777777" w:rsidR="00996352" w:rsidRDefault="00996352" w:rsidP="00D64948">
    <w:r>
      <w:t>May 22, 2023</w:t>
    </w:r>
  </w:p>
  <w:p w14:paraId="67295C73" w14:textId="63326C42" w:rsidR="00996352" w:rsidRDefault="00996352" w:rsidP="00D64948">
    <w:r>
      <w:t xml:space="preserve">Page 2 </w:t>
    </w:r>
  </w:p>
  <w:p w14:paraId="7A8072B3" w14:textId="77777777" w:rsidR="00F021F0" w:rsidRDefault="00F021F0" w:rsidP="00D6494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B48B77" w14:textId="0129E033" w:rsidR="00C31A25" w:rsidRDefault="00B65391">
    <w:pPr>
      <w:pStyle w:val="Header"/>
    </w:pPr>
    <w:r>
      <w:rPr>
        <w:noProof/>
      </w:rPr>
      <w:pict w14:anchorId="2A1A899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3389828" o:spid="_x0000_s1027" type="#_x0000_t136" style="position:absolute;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945F3" w14:textId="03370F7E" w:rsidR="00B65391" w:rsidRDefault="00B65391">
    <w:pPr>
      <w:pStyle w:val="Header"/>
    </w:pPr>
    <w:r>
      <w:rPr>
        <w:noProof/>
      </w:rPr>
      <w:pict w14:anchorId="21BDA38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3389832" o:spid="_x0000_s1031" type="#_x0000_t136" style="position:absolute;margin-left:0;margin-top:0;width:412.4pt;height:247.45pt;rotation:315;z-index:-251649024;mso-position-horizontal:center;mso-position-horizontal-relative:margin;mso-position-vertical:center;mso-position-vertical-relative:margin" o:allowincell="f" fillcolor="silver" stroked="f">
          <v:fill opacity=".5"/>
          <v:textpath style="font-family:&quot;Calibri&quot;;font-size:1pt" string="DRAFT"/>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62B1F9" w14:textId="7990E8C8" w:rsidR="00996352" w:rsidRDefault="00B65391" w:rsidP="00D64948">
    <w:pPr>
      <w:pStyle w:val="Header"/>
    </w:pPr>
    <w:r>
      <w:rPr>
        <w:noProof/>
      </w:rPr>
      <w:pict w14:anchorId="706BFB3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3389833" o:spid="_x0000_s1032" type="#_x0000_t136" style="position:absolute;margin-left:0;margin-top:0;width:412.4pt;height:247.45pt;rotation:315;z-index:-251646976;mso-position-horizontal:center;mso-position-horizontal-relative:margin;mso-position-vertical:center;mso-position-vertical-relative:margin" o:allowincell="f" fillcolor="silver" stroked="f">
          <v:fill opacity=".5"/>
          <v:textpath style="font-family:&quot;Calibri&quot;;font-size:1pt" string="DRAFT"/>
        </v:shape>
      </w:pict>
    </w:r>
    <w:r w:rsidR="00D31F12">
      <w:t>D R A F T</w:t>
    </w:r>
  </w:p>
  <w:p w14:paraId="64E1AFC7" w14:textId="70FB2EDF" w:rsidR="00D31F12" w:rsidRDefault="00D31F12" w:rsidP="00D64948">
    <w:pPr>
      <w:pStyle w:val="Header"/>
    </w:pPr>
    <w:r>
      <w:t>December 15, 2023</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D1000" w14:textId="265CEBCD" w:rsidR="00B65391" w:rsidRDefault="00B65391">
    <w:pPr>
      <w:pStyle w:val="Header"/>
    </w:pPr>
    <w:r>
      <w:rPr>
        <w:noProof/>
      </w:rPr>
      <w:pict w14:anchorId="1D42CA7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3389831" o:spid="_x0000_s1030" type="#_x0000_t136" style="position:absolute;margin-left:0;margin-top:0;width:412.4pt;height:247.45pt;rotation:315;z-index:-251651072;mso-position-horizontal:center;mso-position-horizontal-relative:margin;mso-position-vertical:center;mso-position-vertical-relative:margin" o:allowincell="f" fillcolor="silver" stroked="f">
          <v:fill opacity=".5"/>
          <v:textpath style="font-family:&quot;Calibri&quot;;font-size:1pt" string="DRAFT"/>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9D1A63" w14:textId="7D194374" w:rsidR="00B65391" w:rsidRDefault="00B65391">
    <w:pPr>
      <w:pStyle w:val="Header"/>
    </w:pPr>
    <w:r>
      <w:rPr>
        <w:noProof/>
      </w:rPr>
      <w:pict w14:anchorId="13DF6B0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3389835" o:spid="_x0000_s1034" type="#_x0000_t136" style="position:absolute;margin-left:0;margin-top:0;width:412.4pt;height:247.45pt;rotation:315;z-index:-251642880;mso-position-horizontal:center;mso-position-horizontal-relative:margin;mso-position-vertical:center;mso-position-vertical-relative:margin" o:allowincell="f" fillcolor="silver" stroked="f">
          <v:fill opacity=".5"/>
          <v:textpath style="font-family:&quot;Calibri&quot;;font-size:1pt" string="DRAFT"/>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F6A269" w14:textId="5CF46561" w:rsidR="00B65391" w:rsidRDefault="00B65391">
    <w:pPr>
      <w:pStyle w:val="Header"/>
    </w:pPr>
    <w:r>
      <w:rPr>
        <w:noProof/>
      </w:rPr>
      <w:pict w14:anchorId="04D0E52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3389836" o:spid="_x0000_s1035" type="#_x0000_t136" style="position:absolute;margin-left:0;margin-top:0;width:412.4pt;height:247.45pt;rotation:315;z-index:-251640832;mso-position-horizontal:center;mso-position-horizontal-relative:margin;mso-position-vertical:center;mso-position-vertical-relative:margin" o:allowincell="f" fillcolor="silver" stroked="f">
          <v:fill opacity=".5"/>
          <v:textpath style="font-family:&quot;Calibri&quot;;font-size:1pt" string="DRAFT"/>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AB150C" w14:textId="35C64790" w:rsidR="00B65391" w:rsidRDefault="00B65391">
    <w:pPr>
      <w:pStyle w:val="Header"/>
    </w:pPr>
    <w:r>
      <w:rPr>
        <w:noProof/>
      </w:rPr>
      <w:pict w14:anchorId="3728DD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3389834" o:spid="_x0000_s1033" type="#_x0000_t136" style="position:absolute;margin-left:0;margin-top:0;width:412.4pt;height:247.45pt;rotation:315;z-index:-251644928;mso-position-horizontal:center;mso-position-horizontal-relative:margin;mso-position-vertical:center;mso-position-vertical-relative:margin" o:allowincell="f" fillcolor="silver" stroked="f">
          <v:fill opacity=".5"/>
          <v:textpath style="font-family:&quot;Calibri&quot;;font-size:1pt" string="DRAFT"/>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F5198"/>
    <w:multiLevelType w:val="hybridMultilevel"/>
    <w:tmpl w:val="D0A609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2F40CE"/>
    <w:multiLevelType w:val="hybridMultilevel"/>
    <w:tmpl w:val="D3AAB2F4"/>
    <w:lvl w:ilvl="0" w:tplc="F77CD53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A12D34"/>
    <w:multiLevelType w:val="hybridMultilevel"/>
    <w:tmpl w:val="CE24E9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38D4BEF"/>
    <w:multiLevelType w:val="hybridMultilevel"/>
    <w:tmpl w:val="AF0CD6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067E26"/>
    <w:multiLevelType w:val="hybridMultilevel"/>
    <w:tmpl w:val="81D08D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0364A3"/>
    <w:multiLevelType w:val="hybridMultilevel"/>
    <w:tmpl w:val="3A90F096"/>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2F8076E5"/>
    <w:multiLevelType w:val="hybridMultilevel"/>
    <w:tmpl w:val="DDE8A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686443D"/>
    <w:multiLevelType w:val="hybridMultilevel"/>
    <w:tmpl w:val="B2109298"/>
    <w:lvl w:ilvl="0" w:tplc="15B05358">
      <w:start w:val="4"/>
      <w:numFmt w:val="bullet"/>
      <w:lvlText w:val=""/>
      <w:lvlJc w:val="left"/>
      <w:pPr>
        <w:ind w:left="720" w:hanging="360"/>
      </w:pPr>
      <w:rPr>
        <w:rFonts w:ascii="Symbol" w:eastAsiaTheme="minorHAnsi" w:hAnsi="Symbol" w:cstheme="minorBidi"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40B6427"/>
    <w:multiLevelType w:val="multilevel"/>
    <w:tmpl w:val="48182AE8"/>
    <w:lvl w:ilvl="0">
      <w:start w:val="1"/>
      <w:numFmt w:val="bullet"/>
      <w:lvlText w:val="■"/>
      <w:lvlJc w:val="left"/>
      <w:pPr>
        <w:ind w:left="216" w:hanging="216"/>
      </w:pPr>
      <w:rPr>
        <w:rFonts w:ascii="Arial" w:hAnsi="Arial" w:hint="default"/>
        <w:color w:val="2846AA"/>
        <w:sz w:val="20"/>
      </w:rPr>
    </w:lvl>
    <w:lvl w:ilvl="1">
      <w:start w:val="1"/>
      <w:numFmt w:val="bullet"/>
      <w:lvlText w:val="–"/>
      <w:lvlJc w:val="left"/>
      <w:pPr>
        <w:ind w:left="432" w:hanging="216"/>
      </w:pPr>
      <w:rPr>
        <w:rFonts w:ascii="Calibri" w:hAnsi="Calibri" w:hint="default"/>
        <w:b/>
        <w:sz w:val="22"/>
      </w:rPr>
    </w:lvl>
    <w:lvl w:ilvl="2">
      <w:start w:val="1"/>
      <w:numFmt w:val="bullet"/>
      <w:lvlText w:val=""/>
      <w:lvlJc w:val="left"/>
      <w:pPr>
        <w:ind w:left="144" w:hanging="144"/>
      </w:pPr>
      <w:rPr>
        <w:rFonts w:ascii="Wingdings" w:hAnsi="Wingdings" w:hint="default"/>
        <w:sz w:val="20"/>
      </w:rPr>
    </w:lvl>
    <w:lvl w:ilvl="3">
      <w:start w:val="1"/>
      <w:numFmt w:val="bullet"/>
      <w:lvlText w:val="–"/>
      <w:lvlJc w:val="left"/>
      <w:pPr>
        <w:ind w:left="360" w:hanging="216"/>
      </w:pPr>
      <w:rPr>
        <w:rFonts w:ascii="Arial Narrow" w:hAnsi="Arial Narrow" w:hint="default"/>
        <w:b/>
        <w:sz w:val="20"/>
      </w:rPr>
    </w:lvl>
    <w:lvl w:ilvl="4">
      <w:start w:val="1"/>
      <w:numFmt w:val="bullet"/>
      <w:lvlText w:val="o"/>
      <w:lvlJc w:val="left"/>
      <w:pPr>
        <w:tabs>
          <w:tab w:val="num" w:pos="3744"/>
        </w:tabs>
        <w:ind w:left="3744" w:hanging="360"/>
      </w:pPr>
      <w:rPr>
        <w:rFonts w:ascii="Courier New" w:hAnsi="Courier New" w:hint="default"/>
      </w:rPr>
    </w:lvl>
    <w:lvl w:ilvl="5">
      <w:start w:val="1"/>
      <w:numFmt w:val="bullet"/>
      <w:lvlText w:val=""/>
      <w:lvlJc w:val="left"/>
      <w:pPr>
        <w:tabs>
          <w:tab w:val="num" w:pos="4464"/>
        </w:tabs>
        <w:ind w:left="4464" w:hanging="360"/>
      </w:pPr>
      <w:rPr>
        <w:rFonts w:ascii="Wingdings" w:hAnsi="Wingdings" w:hint="default"/>
      </w:rPr>
    </w:lvl>
    <w:lvl w:ilvl="6">
      <w:start w:val="1"/>
      <w:numFmt w:val="bullet"/>
      <w:lvlText w:val=""/>
      <w:lvlJc w:val="left"/>
      <w:pPr>
        <w:tabs>
          <w:tab w:val="num" w:pos="5184"/>
        </w:tabs>
        <w:ind w:left="5184" w:hanging="360"/>
      </w:pPr>
      <w:rPr>
        <w:rFonts w:ascii="Symbol" w:hAnsi="Symbol" w:hint="default"/>
      </w:rPr>
    </w:lvl>
    <w:lvl w:ilvl="7">
      <w:start w:val="1"/>
      <w:numFmt w:val="bullet"/>
      <w:lvlText w:val=""/>
      <w:lvlJc w:val="left"/>
      <w:pPr>
        <w:ind w:left="1656" w:hanging="216"/>
      </w:pPr>
      <w:rPr>
        <w:rFonts w:ascii="Wingdings 2" w:hAnsi="Wingdings 2" w:hint="default"/>
        <w:color w:val="auto"/>
        <w:sz w:val="20"/>
      </w:rPr>
    </w:lvl>
    <w:lvl w:ilvl="8">
      <w:start w:val="1"/>
      <w:numFmt w:val="bullet"/>
      <w:lvlText w:val="–"/>
      <w:lvlJc w:val="left"/>
      <w:pPr>
        <w:ind w:left="1872" w:hanging="216"/>
      </w:pPr>
      <w:rPr>
        <w:rFonts w:ascii="Calibri" w:hAnsi="Calibri" w:hint="default"/>
        <w:b/>
        <w:sz w:val="22"/>
      </w:rPr>
    </w:lvl>
  </w:abstractNum>
  <w:abstractNum w:abstractNumId="9" w15:restartNumberingAfterBreak="0">
    <w:nsid w:val="554209E0"/>
    <w:multiLevelType w:val="hybridMultilevel"/>
    <w:tmpl w:val="AF6C4A76"/>
    <w:lvl w:ilvl="0" w:tplc="0409000F">
      <w:start w:val="1"/>
      <w:numFmt w:val="decimal"/>
      <w:lvlText w:val="%1."/>
      <w:lvlJc w:val="left"/>
      <w:pPr>
        <w:ind w:left="720" w:hanging="360"/>
      </w:pPr>
    </w:lvl>
    <w:lvl w:ilvl="1" w:tplc="2878E090">
      <w:numFmt w:val="bullet"/>
      <w:lvlText w:val=""/>
      <w:lvlJc w:val="left"/>
      <w:pPr>
        <w:ind w:left="1440" w:hanging="360"/>
      </w:pPr>
      <w:rPr>
        <w:rFonts w:ascii="Symbol" w:eastAsia="Times New Roman" w:hAnsi="Symbol" w:cs="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3101F35"/>
    <w:multiLevelType w:val="hybridMultilevel"/>
    <w:tmpl w:val="D4625120"/>
    <w:lvl w:ilvl="0" w:tplc="8642FF82">
      <w:start w:val="4"/>
      <w:numFmt w:val="bullet"/>
      <w:lvlText w:val=""/>
      <w:lvlJc w:val="left"/>
      <w:pPr>
        <w:ind w:left="720" w:hanging="360"/>
      </w:pPr>
      <w:rPr>
        <w:rFonts w:ascii="Symbol" w:eastAsiaTheme="minorHAnsi" w:hAnsi="Symbol" w:cstheme="minorBidi" w:hint="default"/>
        <w:b/>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29916D9"/>
    <w:multiLevelType w:val="hybridMultilevel"/>
    <w:tmpl w:val="AEAA63F8"/>
    <w:lvl w:ilvl="0" w:tplc="8642FF82">
      <w:start w:val="4"/>
      <w:numFmt w:val="bullet"/>
      <w:lvlText w:val=""/>
      <w:lvlJc w:val="left"/>
      <w:pPr>
        <w:ind w:left="720" w:hanging="360"/>
      </w:pPr>
      <w:rPr>
        <w:rFonts w:ascii="Symbol" w:eastAsiaTheme="minorHAnsi" w:hAnsi="Symbol" w:cstheme="minorBidi" w:hint="default"/>
        <w:b/>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2A73053"/>
    <w:multiLevelType w:val="hybridMultilevel"/>
    <w:tmpl w:val="51C0AC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5BF5EC7"/>
    <w:multiLevelType w:val="hybridMultilevel"/>
    <w:tmpl w:val="826043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6F90FF4"/>
    <w:multiLevelType w:val="multilevel"/>
    <w:tmpl w:val="A33EF060"/>
    <w:lvl w:ilvl="0">
      <w:start w:val="1"/>
      <w:numFmt w:val="decimal"/>
      <w:suff w:val="nothing"/>
      <w:lvlText w:val="%1"/>
      <w:lvlJc w:val="left"/>
      <w:pPr>
        <w:ind w:left="0" w:firstLine="0"/>
      </w:pPr>
      <w:rPr>
        <w:rFonts w:hint="default"/>
      </w:rPr>
    </w:lvl>
    <w:lvl w:ilvl="1">
      <w:start w:val="1"/>
      <w:numFmt w:val="bullet"/>
      <w:pStyle w:val="B1"/>
      <w:lvlText w:val=""/>
      <w:lvlJc w:val="left"/>
      <w:pPr>
        <w:ind w:left="216" w:hanging="216"/>
      </w:pPr>
      <w:rPr>
        <w:rFonts w:ascii="Wingdings" w:hAnsi="Wingdings" w:hint="default"/>
        <w:color w:val="006F00"/>
        <w:sz w:val="16"/>
      </w:rPr>
    </w:lvl>
    <w:lvl w:ilvl="2">
      <w:start w:val="1"/>
      <w:numFmt w:val="bullet"/>
      <w:lvlText w:val=""/>
      <w:lvlJc w:val="left"/>
      <w:pPr>
        <w:tabs>
          <w:tab w:val="num" w:pos="720"/>
        </w:tabs>
        <w:ind w:left="720" w:hanging="360"/>
      </w:pPr>
      <w:rPr>
        <w:rFonts w:ascii="Wingdings" w:hAnsi="Wingdings" w:hint="default"/>
        <w:color w:val="004600"/>
        <w:sz w:val="12"/>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 w15:restartNumberingAfterBreak="0">
    <w:nsid w:val="78356D68"/>
    <w:multiLevelType w:val="multilevel"/>
    <w:tmpl w:val="376A29A6"/>
    <w:lvl w:ilvl="0">
      <w:start w:val="1"/>
      <w:numFmt w:val="bullet"/>
      <w:pStyle w:val="ListBullet"/>
      <w:lvlText w:val=""/>
      <w:lvlJc w:val="left"/>
      <w:pPr>
        <w:ind w:left="216" w:hanging="216"/>
      </w:pPr>
      <w:rPr>
        <w:rFonts w:ascii="Wingdings 2" w:hAnsi="Wingdings 2" w:hint="default"/>
        <w:color w:val="auto"/>
        <w:sz w:val="20"/>
        <w:szCs w:val="18"/>
      </w:rPr>
    </w:lvl>
    <w:lvl w:ilvl="1">
      <w:start w:val="1"/>
      <w:numFmt w:val="bullet"/>
      <w:pStyle w:val="ListBullet2"/>
      <w:lvlText w:val="–"/>
      <w:lvlJc w:val="left"/>
      <w:pPr>
        <w:ind w:left="432" w:hanging="216"/>
      </w:pPr>
      <w:rPr>
        <w:rFonts w:ascii="Calibri" w:hAnsi="Calibri" w:hint="default"/>
        <w:b/>
        <w:sz w:val="22"/>
      </w:rPr>
    </w:lvl>
    <w:lvl w:ilvl="2">
      <w:start w:val="1"/>
      <w:numFmt w:val="bullet"/>
      <w:pStyle w:val="ListBullet3"/>
      <w:lvlText w:val=""/>
      <w:lvlJc w:val="left"/>
      <w:pPr>
        <w:ind w:left="144" w:hanging="144"/>
      </w:pPr>
      <w:rPr>
        <w:rFonts w:ascii="Wingdings" w:hAnsi="Wingdings" w:hint="default"/>
        <w:sz w:val="20"/>
      </w:rPr>
    </w:lvl>
    <w:lvl w:ilvl="3">
      <w:start w:val="1"/>
      <w:numFmt w:val="bullet"/>
      <w:pStyle w:val="ListBullet4"/>
      <w:lvlText w:val="–"/>
      <w:lvlJc w:val="left"/>
      <w:pPr>
        <w:ind w:left="360" w:hanging="216"/>
      </w:pPr>
      <w:rPr>
        <w:rFonts w:ascii="Arial Narrow" w:hAnsi="Arial Narrow" w:hint="default"/>
        <w:b/>
        <w:sz w:val="20"/>
      </w:rPr>
    </w:lvl>
    <w:lvl w:ilvl="4">
      <w:start w:val="1"/>
      <w:numFmt w:val="bullet"/>
      <w:lvlText w:val="o"/>
      <w:lvlJc w:val="left"/>
      <w:pPr>
        <w:tabs>
          <w:tab w:val="num" w:pos="3744"/>
        </w:tabs>
        <w:ind w:left="3744" w:hanging="360"/>
      </w:pPr>
      <w:rPr>
        <w:rFonts w:ascii="Courier New" w:hAnsi="Courier New" w:hint="default"/>
      </w:rPr>
    </w:lvl>
    <w:lvl w:ilvl="5">
      <w:start w:val="1"/>
      <w:numFmt w:val="bullet"/>
      <w:lvlText w:val=""/>
      <w:lvlJc w:val="left"/>
      <w:pPr>
        <w:tabs>
          <w:tab w:val="num" w:pos="4464"/>
        </w:tabs>
        <w:ind w:left="4464" w:hanging="360"/>
      </w:pPr>
      <w:rPr>
        <w:rFonts w:ascii="Wingdings" w:hAnsi="Wingdings" w:hint="default"/>
      </w:rPr>
    </w:lvl>
    <w:lvl w:ilvl="6">
      <w:start w:val="1"/>
      <w:numFmt w:val="bullet"/>
      <w:lvlText w:val=""/>
      <w:lvlJc w:val="left"/>
      <w:pPr>
        <w:tabs>
          <w:tab w:val="num" w:pos="5184"/>
        </w:tabs>
        <w:ind w:left="5184" w:hanging="360"/>
      </w:pPr>
      <w:rPr>
        <w:rFonts w:ascii="Symbol" w:hAnsi="Symbol" w:hint="default"/>
      </w:rPr>
    </w:lvl>
    <w:lvl w:ilvl="7">
      <w:start w:val="1"/>
      <w:numFmt w:val="bullet"/>
      <w:pStyle w:val="MMBullet"/>
      <w:lvlText w:val=""/>
      <w:lvlJc w:val="left"/>
      <w:pPr>
        <w:ind w:left="1656" w:hanging="216"/>
      </w:pPr>
      <w:rPr>
        <w:rFonts w:ascii="Wingdings 2" w:hAnsi="Wingdings 2" w:hint="default"/>
        <w:color w:val="auto"/>
        <w:sz w:val="20"/>
      </w:rPr>
    </w:lvl>
    <w:lvl w:ilvl="8">
      <w:start w:val="1"/>
      <w:numFmt w:val="bullet"/>
      <w:pStyle w:val="MMBullet2"/>
      <w:lvlText w:val="–"/>
      <w:lvlJc w:val="left"/>
      <w:pPr>
        <w:ind w:left="1872" w:hanging="216"/>
      </w:pPr>
      <w:rPr>
        <w:rFonts w:ascii="Calibri" w:hAnsi="Calibri" w:hint="default"/>
        <w:b/>
        <w:sz w:val="22"/>
      </w:rPr>
    </w:lvl>
  </w:abstractNum>
  <w:num w:numId="1" w16cid:durableId="1211961026">
    <w:abstractNumId w:val="14"/>
  </w:num>
  <w:num w:numId="2" w16cid:durableId="1566716710">
    <w:abstractNumId w:val="2"/>
  </w:num>
  <w:num w:numId="3" w16cid:durableId="845556844">
    <w:abstractNumId w:val="4"/>
  </w:num>
  <w:num w:numId="4" w16cid:durableId="261694284">
    <w:abstractNumId w:val="15"/>
  </w:num>
  <w:num w:numId="5" w16cid:durableId="1277101657">
    <w:abstractNumId w:val="8"/>
  </w:num>
  <w:num w:numId="6" w16cid:durableId="606042441">
    <w:abstractNumId w:val="9"/>
  </w:num>
  <w:num w:numId="7" w16cid:durableId="1732729560">
    <w:abstractNumId w:val="6"/>
  </w:num>
  <w:num w:numId="8" w16cid:durableId="672997554">
    <w:abstractNumId w:val="3"/>
  </w:num>
  <w:num w:numId="9" w16cid:durableId="294146253">
    <w:abstractNumId w:val="7"/>
  </w:num>
  <w:num w:numId="10" w16cid:durableId="1133213578">
    <w:abstractNumId w:val="11"/>
  </w:num>
  <w:num w:numId="11" w16cid:durableId="1709573326">
    <w:abstractNumId w:val="13"/>
  </w:num>
  <w:num w:numId="12" w16cid:durableId="316342530">
    <w:abstractNumId w:val="10"/>
  </w:num>
  <w:num w:numId="13" w16cid:durableId="425271143">
    <w:abstractNumId w:val="1"/>
  </w:num>
  <w:num w:numId="14" w16cid:durableId="1377663631">
    <w:abstractNumId w:val="0"/>
  </w:num>
  <w:num w:numId="15" w16cid:durableId="2099862646">
    <w:abstractNumId w:val="12"/>
  </w:num>
  <w:num w:numId="16" w16cid:durableId="21682039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activeWritingStyle w:appName="MSWord" w:lang="en-US" w:vendorID="64" w:dllVersion="0" w:nlCheck="1" w:checkStyle="0"/>
  <w:activeWritingStyle w:appName="MSWord" w:lang="fr-FR" w:vendorID="64" w:dllVersion="0" w:nlCheck="1" w:checkStyle="0"/>
  <w:activeWritingStyle w:appName="MSWord" w:lang="pt-BR" w:vendorID="64" w:dllVersion="0" w:nlCheck="1" w:checkStyle="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0D1C"/>
    <w:rsid w:val="0000132E"/>
    <w:rsid w:val="00004883"/>
    <w:rsid w:val="000053DE"/>
    <w:rsid w:val="0000709E"/>
    <w:rsid w:val="000113C6"/>
    <w:rsid w:val="00015CB4"/>
    <w:rsid w:val="000175E5"/>
    <w:rsid w:val="00024EC7"/>
    <w:rsid w:val="00033008"/>
    <w:rsid w:val="000341BF"/>
    <w:rsid w:val="00041602"/>
    <w:rsid w:val="00043AA0"/>
    <w:rsid w:val="000626CC"/>
    <w:rsid w:val="000702DE"/>
    <w:rsid w:val="00071151"/>
    <w:rsid w:val="000713A3"/>
    <w:rsid w:val="000725CA"/>
    <w:rsid w:val="000728E3"/>
    <w:rsid w:val="000742BC"/>
    <w:rsid w:val="00084063"/>
    <w:rsid w:val="0009430C"/>
    <w:rsid w:val="00097DA7"/>
    <w:rsid w:val="000A17D5"/>
    <w:rsid w:val="000A1ADB"/>
    <w:rsid w:val="000B022F"/>
    <w:rsid w:val="000B4502"/>
    <w:rsid w:val="000C24CC"/>
    <w:rsid w:val="000C368F"/>
    <w:rsid w:val="000C4312"/>
    <w:rsid w:val="000D4CF8"/>
    <w:rsid w:val="000D5167"/>
    <w:rsid w:val="000D615C"/>
    <w:rsid w:val="000D64CB"/>
    <w:rsid w:val="000F0F73"/>
    <w:rsid w:val="000F24F4"/>
    <w:rsid w:val="000F360F"/>
    <w:rsid w:val="000F4D17"/>
    <w:rsid w:val="000F780A"/>
    <w:rsid w:val="001023FD"/>
    <w:rsid w:val="001158E6"/>
    <w:rsid w:val="00116DA6"/>
    <w:rsid w:val="001179B1"/>
    <w:rsid w:val="0012041C"/>
    <w:rsid w:val="00121062"/>
    <w:rsid w:val="001253DC"/>
    <w:rsid w:val="00131B3A"/>
    <w:rsid w:val="00133C56"/>
    <w:rsid w:val="00140002"/>
    <w:rsid w:val="001433FF"/>
    <w:rsid w:val="00144C76"/>
    <w:rsid w:val="00144FB2"/>
    <w:rsid w:val="00154E06"/>
    <w:rsid w:val="00155C84"/>
    <w:rsid w:val="0016393E"/>
    <w:rsid w:val="00164E40"/>
    <w:rsid w:val="001729ED"/>
    <w:rsid w:val="00174C91"/>
    <w:rsid w:val="0017506E"/>
    <w:rsid w:val="00175BF5"/>
    <w:rsid w:val="00175D3D"/>
    <w:rsid w:val="001815B7"/>
    <w:rsid w:val="0018245B"/>
    <w:rsid w:val="0018323C"/>
    <w:rsid w:val="00185F14"/>
    <w:rsid w:val="00186E94"/>
    <w:rsid w:val="001969EF"/>
    <w:rsid w:val="001B3915"/>
    <w:rsid w:val="001B64DF"/>
    <w:rsid w:val="001C1ACD"/>
    <w:rsid w:val="001C20C3"/>
    <w:rsid w:val="001C211C"/>
    <w:rsid w:val="001C4034"/>
    <w:rsid w:val="001D1020"/>
    <w:rsid w:val="001D1E48"/>
    <w:rsid w:val="001D2871"/>
    <w:rsid w:val="001D421B"/>
    <w:rsid w:val="001D7597"/>
    <w:rsid w:val="001E10AE"/>
    <w:rsid w:val="001E3453"/>
    <w:rsid w:val="001E6F73"/>
    <w:rsid w:val="001F1672"/>
    <w:rsid w:val="001F397D"/>
    <w:rsid w:val="001F62EF"/>
    <w:rsid w:val="002027DD"/>
    <w:rsid w:val="00212115"/>
    <w:rsid w:val="00212267"/>
    <w:rsid w:val="00215A26"/>
    <w:rsid w:val="00215D68"/>
    <w:rsid w:val="0022250D"/>
    <w:rsid w:val="0022689F"/>
    <w:rsid w:val="002270A7"/>
    <w:rsid w:val="00227193"/>
    <w:rsid w:val="002369CE"/>
    <w:rsid w:val="0024380F"/>
    <w:rsid w:val="00245BA2"/>
    <w:rsid w:val="00247CA2"/>
    <w:rsid w:val="00255D96"/>
    <w:rsid w:val="002606A2"/>
    <w:rsid w:val="002614AF"/>
    <w:rsid w:val="00261EE3"/>
    <w:rsid w:val="002631BB"/>
    <w:rsid w:val="002723A9"/>
    <w:rsid w:val="00274EC2"/>
    <w:rsid w:val="0028048A"/>
    <w:rsid w:val="0028259A"/>
    <w:rsid w:val="002937FE"/>
    <w:rsid w:val="002953B9"/>
    <w:rsid w:val="0029593B"/>
    <w:rsid w:val="00297F5B"/>
    <w:rsid w:val="002A075C"/>
    <w:rsid w:val="002A2AF4"/>
    <w:rsid w:val="002B44AF"/>
    <w:rsid w:val="002B4B1E"/>
    <w:rsid w:val="002C3A10"/>
    <w:rsid w:val="002C3A5C"/>
    <w:rsid w:val="002D021B"/>
    <w:rsid w:val="002D4804"/>
    <w:rsid w:val="002D58BB"/>
    <w:rsid w:val="002E1FE3"/>
    <w:rsid w:val="002F7218"/>
    <w:rsid w:val="00305034"/>
    <w:rsid w:val="003054CA"/>
    <w:rsid w:val="003061FA"/>
    <w:rsid w:val="00321D60"/>
    <w:rsid w:val="003273D7"/>
    <w:rsid w:val="00336389"/>
    <w:rsid w:val="003367E3"/>
    <w:rsid w:val="0033738A"/>
    <w:rsid w:val="00337AC2"/>
    <w:rsid w:val="00337B50"/>
    <w:rsid w:val="00342CF5"/>
    <w:rsid w:val="0034306A"/>
    <w:rsid w:val="003465AC"/>
    <w:rsid w:val="00347A8E"/>
    <w:rsid w:val="003526BD"/>
    <w:rsid w:val="003632A4"/>
    <w:rsid w:val="003633A9"/>
    <w:rsid w:val="00370955"/>
    <w:rsid w:val="003761FE"/>
    <w:rsid w:val="003860F1"/>
    <w:rsid w:val="00394A5E"/>
    <w:rsid w:val="00395F3F"/>
    <w:rsid w:val="003A0419"/>
    <w:rsid w:val="003A3A04"/>
    <w:rsid w:val="003A5D57"/>
    <w:rsid w:val="003B179A"/>
    <w:rsid w:val="003B1D7F"/>
    <w:rsid w:val="003B39EB"/>
    <w:rsid w:val="003B5502"/>
    <w:rsid w:val="003C189A"/>
    <w:rsid w:val="003C5DA4"/>
    <w:rsid w:val="003C6389"/>
    <w:rsid w:val="003D0E30"/>
    <w:rsid w:val="003D1009"/>
    <w:rsid w:val="003D2085"/>
    <w:rsid w:val="003E49C0"/>
    <w:rsid w:val="003F16E2"/>
    <w:rsid w:val="003F48B5"/>
    <w:rsid w:val="00400A36"/>
    <w:rsid w:val="00401A84"/>
    <w:rsid w:val="00401DF6"/>
    <w:rsid w:val="004213CC"/>
    <w:rsid w:val="0042314C"/>
    <w:rsid w:val="0043079F"/>
    <w:rsid w:val="00431A0C"/>
    <w:rsid w:val="00431FC5"/>
    <w:rsid w:val="00440EB4"/>
    <w:rsid w:val="00441A8A"/>
    <w:rsid w:val="00442985"/>
    <w:rsid w:val="00451351"/>
    <w:rsid w:val="00464F18"/>
    <w:rsid w:val="00470E84"/>
    <w:rsid w:val="004720CA"/>
    <w:rsid w:val="0047435F"/>
    <w:rsid w:val="004836B2"/>
    <w:rsid w:val="00491151"/>
    <w:rsid w:val="00492555"/>
    <w:rsid w:val="00495C40"/>
    <w:rsid w:val="004A2DAD"/>
    <w:rsid w:val="004A3553"/>
    <w:rsid w:val="004A568D"/>
    <w:rsid w:val="004B7C7A"/>
    <w:rsid w:val="004C0B6C"/>
    <w:rsid w:val="004C28E4"/>
    <w:rsid w:val="004C450F"/>
    <w:rsid w:val="004D03FD"/>
    <w:rsid w:val="004D3E14"/>
    <w:rsid w:val="004D51BF"/>
    <w:rsid w:val="004D650C"/>
    <w:rsid w:val="004D6A14"/>
    <w:rsid w:val="004E6E63"/>
    <w:rsid w:val="004F2ADE"/>
    <w:rsid w:val="004F51E9"/>
    <w:rsid w:val="00502CEA"/>
    <w:rsid w:val="00512144"/>
    <w:rsid w:val="00516E6A"/>
    <w:rsid w:val="00522BC5"/>
    <w:rsid w:val="00541961"/>
    <w:rsid w:val="005436C4"/>
    <w:rsid w:val="00551788"/>
    <w:rsid w:val="005535C1"/>
    <w:rsid w:val="00556CDB"/>
    <w:rsid w:val="00556D41"/>
    <w:rsid w:val="00561227"/>
    <w:rsid w:val="00563BCD"/>
    <w:rsid w:val="005729DC"/>
    <w:rsid w:val="005761CC"/>
    <w:rsid w:val="0057728F"/>
    <w:rsid w:val="00577A1B"/>
    <w:rsid w:val="00577A60"/>
    <w:rsid w:val="005824B4"/>
    <w:rsid w:val="00591D42"/>
    <w:rsid w:val="005A1F56"/>
    <w:rsid w:val="005A2416"/>
    <w:rsid w:val="005A2A37"/>
    <w:rsid w:val="005A2FBD"/>
    <w:rsid w:val="005A44A9"/>
    <w:rsid w:val="005A6CF1"/>
    <w:rsid w:val="005B299A"/>
    <w:rsid w:val="005C0154"/>
    <w:rsid w:val="005C09E5"/>
    <w:rsid w:val="005C246B"/>
    <w:rsid w:val="005C267A"/>
    <w:rsid w:val="005C6395"/>
    <w:rsid w:val="005C799B"/>
    <w:rsid w:val="005D2147"/>
    <w:rsid w:val="005D2282"/>
    <w:rsid w:val="005D5D9F"/>
    <w:rsid w:val="005E0507"/>
    <w:rsid w:val="005F6E65"/>
    <w:rsid w:val="00602548"/>
    <w:rsid w:val="00602951"/>
    <w:rsid w:val="00610E6F"/>
    <w:rsid w:val="00620560"/>
    <w:rsid w:val="00624488"/>
    <w:rsid w:val="00636DCF"/>
    <w:rsid w:val="006441E4"/>
    <w:rsid w:val="00653B1C"/>
    <w:rsid w:val="00654748"/>
    <w:rsid w:val="0065744D"/>
    <w:rsid w:val="006623BE"/>
    <w:rsid w:val="00672B59"/>
    <w:rsid w:val="00680D59"/>
    <w:rsid w:val="0068155A"/>
    <w:rsid w:val="0068276B"/>
    <w:rsid w:val="006836AA"/>
    <w:rsid w:val="00684D8C"/>
    <w:rsid w:val="00686CFB"/>
    <w:rsid w:val="00690E83"/>
    <w:rsid w:val="006936CE"/>
    <w:rsid w:val="006A01B1"/>
    <w:rsid w:val="006A736B"/>
    <w:rsid w:val="006B0F81"/>
    <w:rsid w:val="006B1E3F"/>
    <w:rsid w:val="006C17E6"/>
    <w:rsid w:val="006C2F62"/>
    <w:rsid w:val="006C376E"/>
    <w:rsid w:val="006D3F9C"/>
    <w:rsid w:val="006D6C08"/>
    <w:rsid w:val="006E7DCA"/>
    <w:rsid w:val="006F384B"/>
    <w:rsid w:val="00700D88"/>
    <w:rsid w:val="00715B80"/>
    <w:rsid w:val="00724624"/>
    <w:rsid w:val="007247C0"/>
    <w:rsid w:val="0073212C"/>
    <w:rsid w:val="00735C8E"/>
    <w:rsid w:val="0073780B"/>
    <w:rsid w:val="00742FC3"/>
    <w:rsid w:val="0074735A"/>
    <w:rsid w:val="007502C3"/>
    <w:rsid w:val="00755986"/>
    <w:rsid w:val="00755BEA"/>
    <w:rsid w:val="007568B1"/>
    <w:rsid w:val="00782D34"/>
    <w:rsid w:val="007838ED"/>
    <w:rsid w:val="00785FB3"/>
    <w:rsid w:val="00786382"/>
    <w:rsid w:val="0079442F"/>
    <w:rsid w:val="007975C0"/>
    <w:rsid w:val="007C2372"/>
    <w:rsid w:val="007D0BBA"/>
    <w:rsid w:val="007D2051"/>
    <w:rsid w:val="007D37DC"/>
    <w:rsid w:val="007D5AE0"/>
    <w:rsid w:val="007E0BB0"/>
    <w:rsid w:val="007E7FEB"/>
    <w:rsid w:val="00805634"/>
    <w:rsid w:val="0080586B"/>
    <w:rsid w:val="00806408"/>
    <w:rsid w:val="008067C9"/>
    <w:rsid w:val="00810BEC"/>
    <w:rsid w:val="00810CE7"/>
    <w:rsid w:val="0081420E"/>
    <w:rsid w:val="008143A0"/>
    <w:rsid w:val="00815F60"/>
    <w:rsid w:val="00820250"/>
    <w:rsid w:val="008319FB"/>
    <w:rsid w:val="00834955"/>
    <w:rsid w:val="00836120"/>
    <w:rsid w:val="00842B9B"/>
    <w:rsid w:val="00860F85"/>
    <w:rsid w:val="008628E4"/>
    <w:rsid w:val="0086345C"/>
    <w:rsid w:val="008717F0"/>
    <w:rsid w:val="00872327"/>
    <w:rsid w:val="00874A11"/>
    <w:rsid w:val="00874CCC"/>
    <w:rsid w:val="00876645"/>
    <w:rsid w:val="00880B37"/>
    <w:rsid w:val="00880D11"/>
    <w:rsid w:val="00882EF6"/>
    <w:rsid w:val="00895C2D"/>
    <w:rsid w:val="00895D02"/>
    <w:rsid w:val="0089627E"/>
    <w:rsid w:val="008A7C63"/>
    <w:rsid w:val="008B2C50"/>
    <w:rsid w:val="008B7898"/>
    <w:rsid w:val="008C3A6F"/>
    <w:rsid w:val="008C7ED6"/>
    <w:rsid w:val="008D3ED5"/>
    <w:rsid w:val="008E1F0D"/>
    <w:rsid w:val="008F22A9"/>
    <w:rsid w:val="00911486"/>
    <w:rsid w:val="009118D4"/>
    <w:rsid w:val="00914924"/>
    <w:rsid w:val="00914D8E"/>
    <w:rsid w:val="00915B14"/>
    <w:rsid w:val="0092655A"/>
    <w:rsid w:val="0093340A"/>
    <w:rsid w:val="009412EA"/>
    <w:rsid w:val="00945EC4"/>
    <w:rsid w:val="00950C5E"/>
    <w:rsid w:val="00951D63"/>
    <w:rsid w:val="00952DBC"/>
    <w:rsid w:val="009630BB"/>
    <w:rsid w:val="0096664E"/>
    <w:rsid w:val="00972A61"/>
    <w:rsid w:val="00980359"/>
    <w:rsid w:val="009814A7"/>
    <w:rsid w:val="0098322A"/>
    <w:rsid w:val="0099146D"/>
    <w:rsid w:val="00995D4D"/>
    <w:rsid w:val="00996352"/>
    <w:rsid w:val="009B3BE1"/>
    <w:rsid w:val="009B3F3B"/>
    <w:rsid w:val="009B45E3"/>
    <w:rsid w:val="009C5DF0"/>
    <w:rsid w:val="009C66F3"/>
    <w:rsid w:val="009E1E45"/>
    <w:rsid w:val="009E26C0"/>
    <w:rsid w:val="009E3660"/>
    <w:rsid w:val="009E3DFF"/>
    <w:rsid w:val="009E6411"/>
    <w:rsid w:val="009E70D6"/>
    <w:rsid w:val="009F1EAC"/>
    <w:rsid w:val="009F6F93"/>
    <w:rsid w:val="00A03B3E"/>
    <w:rsid w:val="00A07DEB"/>
    <w:rsid w:val="00A14CF7"/>
    <w:rsid w:val="00A14EA5"/>
    <w:rsid w:val="00A21E6F"/>
    <w:rsid w:val="00A25320"/>
    <w:rsid w:val="00A2624B"/>
    <w:rsid w:val="00A427C4"/>
    <w:rsid w:val="00A44470"/>
    <w:rsid w:val="00A45816"/>
    <w:rsid w:val="00A47030"/>
    <w:rsid w:val="00A47A8D"/>
    <w:rsid w:val="00A55BDB"/>
    <w:rsid w:val="00A63E59"/>
    <w:rsid w:val="00A64837"/>
    <w:rsid w:val="00A739B1"/>
    <w:rsid w:val="00A74D79"/>
    <w:rsid w:val="00A830BD"/>
    <w:rsid w:val="00A83C13"/>
    <w:rsid w:val="00A914BD"/>
    <w:rsid w:val="00A946FC"/>
    <w:rsid w:val="00A9482B"/>
    <w:rsid w:val="00AA4AD4"/>
    <w:rsid w:val="00AA51A9"/>
    <w:rsid w:val="00AA58EF"/>
    <w:rsid w:val="00AA634D"/>
    <w:rsid w:val="00AB3848"/>
    <w:rsid w:val="00AC2745"/>
    <w:rsid w:val="00AC6BAE"/>
    <w:rsid w:val="00AD3845"/>
    <w:rsid w:val="00AD430B"/>
    <w:rsid w:val="00AD68B3"/>
    <w:rsid w:val="00AD7A21"/>
    <w:rsid w:val="00AE5062"/>
    <w:rsid w:val="00AE649E"/>
    <w:rsid w:val="00AF2659"/>
    <w:rsid w:val="00B0280E"/>
    <w:rsid w:val="00B0526A"/>
    <w:rsid w:val="00B07F1E"/>
    <w:rsid w:val="00B12F4E"/>
    <w:rsid w:val="00B32CAC"/>
    <w:rsid w:val="00B40F48"/>
    <w:rsid w:val="00B434A3"/>
    <w:rsid w:val="00B46BC9"/>
    <w:rsid w:val="00B52E15"/>
    <w:rsid w:val="00B55895"/>
    <w:rsid w:val="00B614C5"/>
    <w:rsid w:val="00B615EA"/>
    <w:rsid w:val="00B63F59"/>
    <w:rsid w:val="00B65391"/>
    <w:rsid w:val="00B719F6"/>
    <w:rsid w:val="00B7247D"/>
    <w:rsid w:val="00B76028"/>
    <w:rsid w:val="00B80BF9"/>
    <w:rsid w:val="00B97E89"/>
    <w:rsid w:val="00BA2E43"/>
    <w:rsid w:val="00BA36E3"/>
    <w:rsid w:val="00BA4360"/>
    <w:rsid w:val="00BB3A0E"/>
    <w:rsid w:val="00BB403F"/>
    <w:rsid w:val="00BB4497"/>
    <w:rsid w:val="00BB469E"/>
    <w:rsid w:val="00BC0AAE"/>
    <w:rsid w:val="00BC1B06"/>
    <w:rsid w:val="00BC3BCC"/>
    <w:rsid w:val="00BC5B86"/>
    <w:rsid w:val="00BC5F64"/>
    <w:rsid w:val="00BD3604"/>
    <w:rsid w:val="00BD3E94"/>
    <w:rsid w:val="00BD7B7D"/>
    <w:rsid w:val="00BE4745"/>
    <w:rsid w:val="00BF368D"/>
    <w:rsid w:val="00BF48A6"/>
    <w:rsid w:val="00C07D46"/>
    <w:rsid w:val="00C13568"/>
    <w:rsid w:val="00C22FF5"/>
    <w:rsid w:val="00C24A3D"/>
    <w:rsid w:val="00C274CD"/>
    <w:rsid w:val="00C31A25"/>
    <w:rsid w:val="00C34E49"/>
    <w:rsid w:val="00C378E6"/>
    <w:rsid w:val="00C402D4"/>
    <w:rsid w:val="00C41CCC"/>
    <w:rsid w:val="00C472CC"/>
    <w:rsid w:val="00C47CCA"/>
    <w:rsid w:val="00C56650"/>
    <w:rsid w:val="00C61703"/>
    <w:rsid w:val="00C64782"/>
    <w:rsid w:val="00C64993"/>
    <w:rsid w:val="00C656A1"/>
    <w:rsid w:val="00C67586"/>
    <w:rsid w:val="00C7377A"/>
    <w:rsid w:val="00C91670"/>
    <w:rsid w:val="00CB4532"/>
    <w:rsid w:val="00CC2515"/>
    <w:rsid w:val="00CC3E49"/>
    <w:rsid w:val="00CD0175"/>
    <w:rsid w:val="00CD50DA"/>
    <w:rsid w:val="00CD7342"/>
    <w:rsid w:val="00CE40CD"/>
    <w:rsid w:val="00CF0377"/>
    <w:rsid w:val="00CF0E0E"/>
    <w:rsid w:val="00D01F35"/>
    <w:rsid w:val="00D1216F"/>
    <w:rsid w:val="00D1764B"/>
    <w:rsid w:val="00D300AD"/>
    <w:rsid w:val="00D31F12"/>
    <w:rsid w:val="00D33BE0"/>
    <w:rsid w:val="00D45E20"/>
    <w:rsid w:val="00D46AC8"/>
    <w:rsid w:val="00D50AC0"/>
    <w:rsid w:val="00D640D6"/>
    <w:rsid w:val="00D6415C"/>
    <w:rsid w:val="00D64948"/>
    <w:rsid w:val="00D65E9C"/>
    <w:rsid w:val="00D73424"/>
    <w:rsid w:val="00D834DE"/>
    <w:rsid w:val="00D84D2C"/>
    <w:rsid w:val="00D87739"/>
    <w:rsid w:val="00D90AFF"/>
    <w:rsid w:val="00D94C23"/>
    <w:rsid w:val="00D952EB"/>
    <w:rsid w:val="00DA24A1"/>
    <w:rsid w:val="00DA301B"/>
    <w:rsid w:val="00DA3E04"/>
    <w:rsid w:val="00DA772C"/>
    <w:rsid w:val="00DB190B"/>
    <w:rsid w:val="00DB79A4"/>
    <w:rsid w:val="00DB7BC0"/>
    <w:rsid w:val="00DD03F4"/>
    <w:rsid w:val="00DD652C"/>
    <w:rsid w:val="00DE157C"/>
    <w:rsid w:val="00DE2067"/>
    <w:rsid w:val="00DE3CBD"/>
    <w:rsid w:val="00DF1FEE"/>
    <w:rsid w:val="00DF5C4A"/>
    <w:rsid w:val="00E008FD"/>
    <w:rsid w:val="00E03903"/>
    <w:rsid w:val="00E0762B"/>
    <w:rsid w:val="00E14A22"/>
    <w:rsid w:val="00E14B36"/>
    <w:rsid w:val="00E31E0D"/>
    <w:rsid w:val="00E32363"/>
    <w:rsid w:val="00E40CD7"/>
    <w:rsid w:val="00E4112C"/>
    <w:rsid w:val="00E53570"/>
    <w:rsid w:val="00E56F1C"/>
    <w:rsid w:val="00E63CE5"/>
    <w:rsid w:val="00E650A7"/>
    <w:rsid w:val="00E656F6"/>
    <w:rsid w:val="00E665ED"/>
    <w:rsid w:val="00E80589"/>
    <w:rsid w:val="00E80638"/>
    <w:rsid w:val="00E81F2D"/>
    <w:rsid w:val="00E83101"/>
    <w:rsid w:val="00E8355E"/>
    <w:rsid w:val="00E92AED"/>
    <w:rsid w:val="00E946E3"/>
    <w:rsid w:val="00EB297E"/>
    <w:rsid w:val="00EC07C0"/>
    <w:rsid w:val="00EC7736"/>
    <w:rsid w:val="00ED078D"/>
    <w:rsid w:val="00ED2392"/>
    <w:rsid w:val="00EE36D3"/>
    <w:rsid w:val="00EE46D7"/>
    <w:rsid w:val="00EE61B5"/>
    <w:rsid w:val="00EE66B3"/>
    <w:rsid w:val="00EE6A85"/>
    <w:rsid w:val="00F021F0"/>
    <w:rsid w:val="00F07F59"/>
    <w:rsid w:val="00F13CEC"/>
    <w:rsid w:val="00F15548"/>
    <w:rsid w:val="00F1643B"/>
    <w:rsid w:val="00F16977"/>
    <w:rsid w:val="00F17C6A"/>
    <w:rsid w:val="00F207C1"/>
    <w:rsid w:val="00F20D1C"/>
    <w:rsid w:val="00F256B0"/>
    <w:rsid w:val="00F36DC8"/>
    <w:rsid w:val="00F417C1"/>
    <w:rsid w:val="00F427AD"/>
    <w:rsid w:val="00F4615E"/>
    <w:rsid w:val="00F5019D"/>
    <w:rsid w:val="00F5170C"/>
    <w:rsid w:val="00F53510"/>
    <w:rsid w:val="00F540FE"/>
    <w:rsid w:val="00F61A02"/>
    <w:rsid w:val="00F636E3"/>
    <w:rsid w:val="00F713CD"/>
    <w:rsid w:val="00F7171C"/>
    <w:rsid w:val="00F80C3F"/>
    <w:rsid w:val="00F82141"/>
    <w:rsid w:val="00F82AEF"/>
    <w:rsid w:val="00F91BF2"/>
    <w:rsid w:val="00FA2AF9"/>
    <w:rsid w:val="00FA3E27"/>
    <w:rsid w:val="00FA43BD"/>
    <w:rsid w:val="00FB3687"/>
    <w:rsid w:val="00FB389C"/>
    <w:rsid w:val="00FC23F5"/>
    <w:rsid w:val="00FC3E72"/>
    <w:rsid w:val="00FC3F4C"/>
    <w:rsid w:val="00FC49D1"/>
    <w:rsid w:val="00FC7BEC"/>
    <w:rsid w:val="00FD16FF"/>
    <w:rsid w:val="00FD238F"/>
    <w:rsid w:val="00FE2029"/>
    <w:rsid w:val="00FE305F"/>
    <w:rsid w:val="00FF18F8"/>
    <w:rsid w:val="00FF63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93564F"/>
  <w15:docId w15:val="{1B124D63-E8EA-4C09-9FD8-1E88E235BE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4E06"/>
    <w:pPr>
      <w:spacing w:after="0" w:line="240" w:lineRule="auto"/>
    </w:pPr>
    <w:rPr>
      <w:rFonts w:eastAsia="Times New Roman" w:cs="Times New Roman"/>
      <w:sz w:val="24"/>
      <w:szCs w:val="24"/>
    </w:rPr>
  </w:style>
  <w:style w:type="paragraph" w:styleId="Heading1">
    <w:name w:val="heading 1"/>
    <w:basedOn w:val="Normal"/>
    <w:next w:val="Normal"/>
    <w:link w:val="Heading1Char"/>
    <w:uiPriority w:val="9"/>
    <w:qFormat/>
    <w:rsid w:val="00C274CD"/>
    <w:pPr>
      <w:keepNext/>
      <w:keepLines/>
      <w:spacing w:before="480" w:line="276" w:lineRule="auto"/>
      <w:outlineLvl w:val="0"/>
    </w:pPr>
    <w:rPr>
      <w:rFonts w:eastAsiaTheme="majorEastAsia" w:cstheme="majorBidi"/>
      <w:b/>
      <w:bCs/>
      <w:szCs w:val="28"/>
    </w:rPr>
  </w:style>
  <w:style w:type="paragraph" w:styleId="Heading2">
    <w:name w:val="heading 2"/>
    <w:basedOn w:val="Normal"/>
    <w:next w:val="Normal"/>
    <w:link w:val="Heading2Char"/>
    <w:uiPriority w:val="9"/>
    <w:unhideWhenUsed/>
    <w:qFormat/>
    <w:rsid w:val="003A3A04"/>
    <w:pPr>
      <w:keepNext/>
      <w:keepLines/>
      <w:spacing w:before="160" w:after="60"/>
      <w:outlineLvl w:val="1"/>
    </w:pPr>
    <w:rPr>
      <w:rFonts w:eastAsiaTheme="majorEastAsia" w:cstheme="majorBidi"/>
      <w:b/>
      <w:bCs/>
      <w:color w:val="000000" w:themeColor="text1"/>
      <w:sz w:val="22"/>
      <w:szCs w:val="26"/>
    </w:rPr>
  </w:style>
  <w:style w:type="paragraph" w:styleId="Heading3">
    <w:name w:val="heading 3"/>
    <w:basedOn w:val="Normal"/>
    <w:next w:val="Normal"/>
    <w:link w:val="Heading3Char"/>
    <w:uiPriority w:val="9"/>
    <w:semiHidden/>
    <w:unhideWhenUsed/>
    <w:qFormat/>
    <w:rsid w:val="0028048A"/>
    <w:pPr>
      <w:keepNext/>
      <w:keepLines/>
      <w:spacing w:before="40" w:line="276" w:lineRule="auto"/>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semiHidden/>
    <w:unhideWhenUsed/>
    <w:qFormat/>
    <w:rsid w:val="0028048A"/>
    <w:pPr>
      <w:keepNext/>
      <w:keepLines/>
      <w:spacing w:before="40" w:line="276" w:lineRule="auto"/>
      <w:outlineLvl w:val="3"/>
    </w:pPr>
    <w:rPr>
      <w:rFonts w:asciiTheme="majorHAnsi" w:eastAsiaTheme="majorEastAsia" w:hAnsiTheme="majorHAnsi" w:cstheme="majorBidi"/>
      <w:i/>
      <w:iCs/>
      <w:color w:val="365F91" w:themeColor="accent1" w:themeShade="BF"/>
      <w:sz w:val="22"/>
      <w:szCs w:val="22"/>
    </w:rPr>
  </w:style>
  <w:style w:type="paragraph" w:styleId="Heading5">
    <w:name w:val="heading 5"/>
    <w:basedOn w:val="Normal"/>
    <w:next w:val="Normal"/>
    <w:link w:val="Heading5Char"/>
    <w:uiPriority w:val="9"/>
    <w:semiHidden/>
    <w:unhideWhenUsed/>
    <w:qFormat/>
    <w:rsid w:val="0028048A"/>
    <w:pPr>
      <w:keepNext/>
      <w:keepLines/>
      <w:spacing w:before="40" w:line="276" w:lineRule="auto"/>
      <w:outlineLvl w:val="4"/>
    </w:pPr>
    <w:rPr>
      <w:rFonts w:asciiTheme="majorHAnsi" w:eastAsiaTheme="majorEastAsia" w:hAnsiTheme="majorHAnsi" w:cstheme="majorBidi"/>
      <w:color w:val="365F91" w:themeColor="accent1" w:themeShade="B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20D1C"/>
    <w:rPr>
      <w:color w:val="0000FF" w:themeColor="hyperlink"/>
      <w:u w:val="single"/>
    </w:rPr>
  </w:style>
  <w:style w:type="paragraph" w:styleId="BodyText">
    <w:name w:val="Body Text"/>
    <w:aliases w:val="b"/>
    <w:basedOn w:val="Normal"/>
    <w:link w:val="BodyTextChar"/>
    <w:uiPriority w:val="99"/>
    <w:rsid w:val="00F20D1C"/>
    <w:pPr>
      <w:spacing w:before="160"/>
      <w:jc w:val="both"/>
    </w:pPr>
    <w:rPr>
      <w:rFonts w:ascii="Calibri" w:hAnsi="Calibri" w:cs="Calibri"/>
      <w:sz w:val="22"/>
      <w:szCs w:val="22"/>
    </w:rPr>
  </w:style>
  <w:style w:type="character" w:customStyle="1" w:styleId="BodyTextChar">
    <w:name w:val="Body Text Char"/>
    <w:aliases w:val="b Char"/>
    <w:basedOn w:val="DefaultParagraphFont"/>
    <w:link w:val="BodyText"/>
    <w:rsid w:val="00F20D1C"/>
    <w:rPr>
      <w:rFonts w:ascii="Calibri" w:eastAsia="Times New Roman" w:hAnsi="Calibri" w:cs="Calibri"/>
    </w:rPr>
  </w:style>
  <w:style w:type="paragraph" w:customStyle="1" w:styleId="TableText">
    <w:name w:val="Table Text"/>
    <w:aliases w:val="ttx,tx"/>
    <w:link w:val="TableTextChar1"/>
    <w:rsid w:val="00F20D1C"/>
    <w:pPr>
      <w:spacing w:after="0" w:line="216" w:lineRule="auto"/>
    </w:pPr>
    <w:rPr>
      <w:rFonts w:ascii="Calibri" w:eastAsia="Times New Roman" w:hAnsi="Calibri" w:cs="Calibri"/>
      <w:sz w:val="20"/>
      <w:szCs w:val="20"/>
    </w:rPr>
  </w:style>
  <w:style w:type="character" w:customStyle="1" w:styleId="TableTextChar1">
    <w:name w:val="Table Text Char1"/>
    <w:aliases w:val="ttx Char1,tx Char1"/>
    <w:basedOn w:val="DefaultParagraphFont"/>
    <w:link w:val="TableText"/>
    <w:rsid w:val="00F20D1C"/>
    <w:rPr>
      <w:rFonts w:ascii="Calibri" w:eastAsia="Times New Roman" w:hAnsi="Calibri" w:cs="Calibri"/>
      <w:sz w:val="20"/>
      <w:szCs w:val="20"/>
    </w:rPr>
  </w:style>
  <w:style w:type="character" w:customStyle="1" w:styleId="Heading1Char">
    <w:name w:val="Heading 1 Char"/>
    <w:basedOn w:val="DefaultParagraphFont"/>
    <w:link w:val="Heading1"/>
    <w:uiPriority w:val="9"/>
    <w:rsid w:val="00C274CD"/>
    <w:rPr>
      <w:rFonts w:eastAsiaTheme="majorEastAsia" w:cstheme="majorBidi"/>
      <w:b/>
      <w:bCs/>
      <w:sz w:val="24"/>
      <w:szCs w:val="28"/>
    </w:rPr>
  </w:style>
  <w:style w:type="paragraph" w:styleId="TOCHeading">
    <w:name w:val="TOC Heading"/>
    <w:basedOn w:val="Heading1"/>
    <w:next w:val="Normal"/>
    <w:uiPriority w:val="39"/>
    <w:semiHidden/>
    <w:unhideWhenUsed/>
    <w:qFormat/>
    <w:rsid w:val="00C274CD"/>
    <w:pPr>
      <w:outlineLvl w:val="9"/>
    </w:pPr>
    <w:rPr>
      <w:rFonts w:asciiTheme="majorHAnsi" w:hAnsiTheme="majorHAnsi"/>
      <w:color w:val="365F91" w:themeColor="accent1" w:themeShade="BF"/>
      <w:sz w:val="28"/>
      <w:lang w:eastAsia="ja-JP"/>
    </w:rPr>
  </w:style>
  <w:style w:type="paragraph" w:styleId="TOC1">
    <w:name w:val="toc 1"/>
    <w:basedOn w:val="Normal"/>
    <w:next w:val="Normal"/>
    <w:autoRedefine/>
    <w:uiPriority w:val="39"/>
    <w:unhideWhenUsed/>
    <w:rsid w:val="00F207C1"/>
    <w:pPr>
      <w:tabs>
        <w:tab w:val="right" w:leader="dot" w:pos="9350"/>
      </w:tabs>
      <w:spacing w:after="100" w:line="276" w:lineRule="auto"/>
    </w:pPr>
    <w:rPr>
      <w:rFonts w:eastAsiaTheme="minorHAnsi" w:cstheme="minorBidi"/>
      <w:sz w:val="22"/>
      <w:szCs w:val="22"/>
    </w:rPr>
  </w:style>
  <w:style w:type="paragraph" w:styleId="BalloonText">
    <w:name w:val="Balloon Text"/>
    <w:basedOn w:val="Normal"/>
    <w:link w:val="BalloonTextChar"/>
    <w:uiPriority w:val="99"/>
    <w:semiHidden/>
    <w:unhideWhenUsed/>
    <w:rsid w:val="00C274CD"/>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C274CD"/>
    <w:rPr>
      <w:rFonts w:ascii="Tahoma" w:hAnsi="Tahoma" w:cs="Tahoma"/>
      <w:sz w:val="16"/>
      <w:szCs w:val="16"/>
    </w:rPr>
  </w:style>
  <w:style w:type="paragraph" w:styleId="Header">
    <w:name w:val="header"/>
    <w:basedOn w:val="Normal"/>
    <w:link w:val="HeaderChar"/>
    <w:uiPriority w:val="99"/>
    <w:unhideWhenUsed/>
    <w:rsid w:val="00D64948"/>
    <w:pPr>
      <w:tabs>
        <w:tab w:val="center" w:pos="4680"/>
        <w:tab w:val="right" w:pos="9360"/>
      </w:tabs>
    </w:pPr>
    <w:rPr>
      <w:rFonts w:eastAsiaTheme="minorHAnsi" w:cstheme="minorBidi"/>
      <w:sz w:val="22"/>
      <w:szCs w:val="22"/>
    </w:rPr>
  </w:style>
  <w:style w:type="character" w:customStyle="1" w:styleId="HeaderChar">
    <w:name w:val="Header Char"/>
    <w:basedOn w:val="DefaultParagraphFont"/>
    <w:link w:val="Header"/>
    <w:uiPriority w:val="99"/>
    <w:rsid w:val="00D64948"/>
  </w:style>
  <w:style w:type="paragraph" w:styleId="Footer">
    <w:name w:val="footer"/>
    <w:basedOn w:val="Normal"/>
    <w:link w:val="FooterChar"/>
    <w:uiPriority w:val="99"/>
    <w:unhideWhenUsed/>
    <w:rsid w:val="00D64948"/>
    <w:pPr>
      <w:tabs>
        <w:tab w:val="center" w:pos="4680"/>
        <w:tab w:val="right" w:pos="9360"/>
      </w:tabs>
    </w:pPr>
    <w:rPr>
      <w:rFonts w:eastAsiaTheme="minorHAnsi" w:cstheme="minorBidi"/>
      <w:sz w:val="22"/>
      <w:szCs w:val="22"/>
    </w:rPr>
  </w:style>
  <w:style w:type="character" w:customStyle="1" w:styleId="FooterChar">
    <w:name w:val="Footer Char"/>
    <w:basedOn w:val="DefaultParagraphFont"/>
    <w:link w:val="Footer"/>
    <w:uiPriority w:val="99"/>
    <w:rsid w:val="00D64948"/>
  </w:style>
  <w:style w:type="table" w:styleId="TableGrid">
    <w:name w:val="Table Grid"/>
    <w:basedOn w:val="TableNormal"/>
    <w:uiPriority w:val="39"/>
    <w:rsid w:val="00E63CE5"/>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sumeName">
    <w:name w:val="Resume Name"/>
    <w:basedOn w:val="Normal"/>
    <w:qFormat/>
    <w:rsid w:val="00E63CE5"/>
    <w:pPr>
      <w:spacing w:before="240"/>
      <w:ind w:left="-58" w:right="-115"/>
    </w:pPr>
    <w:rPr>
      <w:rFonts w:ascii="Calibri" w:eastAsia="Gothic A1" w:hAnsi="Calibri" w:cstheme="minorBidi"/>
      <w:b/>
      <w:color w:val="FFFFFF" w:themeColor="background1"/>
      <w:sz w:val="36"/>
      <w:szCs w:val="36"/>
      <w14:textOutline w14:w="9525" w14:cap="rnd" w14:cmpd="sng" w14:algn="ctr">
        <w14:noFill/>
        <w14:prstDash w14:val="solid"/>
        <w14:bevel/>
      </w14:textOutline>
    </w:rPr>
  </w:style>
  <w:style w:type="paragraph" w:customStyle="1" w:styleId="ResumeTitle">
    <w:name w:val="Resume Title"/>
    <w:basedOn w:val="Normal"/>
    <w:qFormat/>
    <w:rsid w:val="00E63CE5"/>
    <w:pPr>
      <w:spacing w:after="240"/>
      <w:ind w:left="-58" w:right="504"/>
    </w:pPr>
    <w:rPr>
      <w:rFonts w:ascii="Calibri Light" w:eastAsia="Gothic A1 Light" w:hAnsi="Calibri Light" w:cs="Calibri Light"/>
      <w:color w:val="FFFFFF" w:themeColor="background1"/>
      <w:sz w:val="28"/>
      <w:szCs w:val="28"/>
      <w14:textOutline w14:w="9525" w14:cap="rnd" w14:cmpd="sng" w14:algn="ctr">
        <w14:noFill/>
        <w14:prstDash w14:val="solid"/>
        <w14:bevel/>
      </w14:textOutline>
    </w:rPr>
  </w:style>
  <w:style w:type="paragraph" w:customStyle="1" w:styleId="GrayBoxTitle">
    <w:name w:val="Gray Box Title"/>
    <w:basedOn w:val="Normal"/>
    <w:qFormat/>
    <w:rsid w:val="00E63CE5"/>
    <w:rPr>
      <w:rFonts w:ascii="Calibri" w:eastAsiaTheme="minorHAnsi" w:hAnsi="Calibri" w:cstheme="minorBidi"/>
      <w:b/>
      <w:color w:val="006325"/>
    </w:rPr>
  </w:style>
  <w:style w:type="paragraph" w:customStyle="1" w:styleId="BodyTextZero">
    <w:name w:val="Body Text Zero"/>
    <w:basedOn w:val="BodyText"/>
    <w:rsid w:val="00E63CE5"/>
    <w:pPr>
      <w:spacing w:before="0"/>
    </w:pPr>
    <w:rPr>
      <w:rFonts w:cs="Times New Roman"/>
      <w:szCs w:val="24"/>
    </w:rPr>
  </w:style>
  <w:style w:type="paragraph" w:customStyle="1" w:styleId="B1">
    <w:name w:val="B1"/>
    <w:basedOn w:val="Normal"/>
    <w:link w:val="B1Char"/>
    <w:rsid w:val="00E63CE5"/>
    <w:pPr>
      <w:numPr>
        <w:ilvl w:val="1"/>
        <w:numId w:val="1"/>
      </w:numPr>
      <w:spacing w:before="40" w:line="228" w:lineRule="auto"/>
    </w:pPr>
    <w:rPr>
      <w:rFonts w:ascii="Calibri" w:hAnsi="Calibri"/>
      <w:sz w:val="22"/>
      <w:szCs w:val="20"/>
    </w:rPr>
  </w:style>
  <w:style w:type="character" w:customStyle="1" w:styleId="B1Char">
    <w:name w:val="B1 Char"/>
    <w:link w:val="B1"/>
    <w:rsid w:val="00E63CE5"/>
    <w:rPr>
      <w:rFonts w:ascii="Calibri" w:eastAsia="Times New Roman" w:hAnsi="Calibri" w:cs="Times New Roman"/>
      <w:szCs w:val="20"/>
    </w:rPr>
  </w:style>
  <w:style w:type="paragraph" w:customStyle="1" w:styleId="Quals">
    <w:name w:val="Quals"/>
    <w:basedOn w:val="BodyText"/>
    <w:link w:val="QualsChar"/>
    <w:qFormat/>
    <w:rsid w:val="00E63CE5"/>
    <w:pPr>
      <w:spacing w:before="120"/>
      <w:ind w:left="144"/>
      <w:jc w:val="left"/>
    </w:pPr>
  </w:style>
  <w:style w:type="character" w:customStyle="1" w:styleId="QualsChar">
    <w:name w:val="Quals Char"/>
    <w:basedOn w:val="BodyTextChar"/>
    <w:link w:val="Quals"/>
    <w:rsid w:val="00E63CE5"/>
    <w:rPr>
      <w:rFonts w:ascii="Calibri" w:eastAsia="Times New Roman" w:hAnsi="Calibri" w:cs="Calibri"/>
    </w:rPr>
  </w:style>
  <w:style w:type="paragraph" w:customStyle="1" w:styleId="Educ">
    <w:name w:val="Educ"/>
    <w:basedOn w:val="BodyText"/>
    <w:link w:val="EducChar"/>
    <w:qFormat/>
    <w:rsid w:val="00E63CE5"/>
    <w:pPr>
      <w:spacing w:before="120"/>
      <w:ind w:left="144"/>
      <w:jc w:val="left"/>
    </w:pPr>
  </w:style>
  <w:style w:type="character" w:customStyle="1" w:styleId="EducChar">
    <w:name w:val="Educ Char"/>
    <w:basedOn w:val="BodyTextChar"/>
    <w:link w:val="Educ"/>
    <w:rsid w:val="00E63CE5"/>
    <w:rPr>
      <w:rFonts w:ascii="Calibri" w:eastAsia="Times New Roman" w:hAnsi="Calibri" w:cs="Calibri"/>
    </w:rPr>
  </w:style>
  <w:style w:type="paragraph" w:styleId="ListParagraph">
    <w:name w:val="List Paragraph"/>
    <w:basedOn w:val="Normal"/>
    <w:uiPriority w:val="34"/>
    <w:qFormat/>
    <w:rsid w:val="001253DC"/>
    <w:pPr>
      <w:spacing w:after="200" w:line="276" w:lineRule="auto"/>
      <w:ind w:left="720"/>
      <w:contextualSpacing/>
    </w:pPr>
    <w:rPr>
      <w:rFonts w:eastAsiaTheme="minorHAnsi" w:cstheme="minorBidi"/>
      <w:sz w:val="22"/>
      <w:szCs w:val="22"/>
    </w:rPr>
  </w:style>
  <w:style w:type="paragraph" w:styleId="NoSpacing">
    <w:name w:val="No Spacing"/>
    <w:uiPriority w:val="1"/>
    <w:qFormat/>
    <w:rsid w:val="003F16E2"/>
    <w:pPr>
      <w:spacing w:after="0" w:line="240" w:lineRule="auto"/>
    </w:pPr>
  </w:style>
  <w:style w:type="character" w:customStyle="1" w:styleId="Heading2Char">
    <w:name w:val="Heading 2 Char"/>
    <w:basedOn w:val="DefaultParagraphFont"/>
    <w:link w:val="Heading2"/>
    <w:uiPriority w:val="9"/>
    <w:rsid w:val="003A3A04"/>
    <w:rPr>
      <w:rFonts w:eastAsiaTheme="majorEastAsia" w:cstheme="majorBidi"/>
      <w:b/>
      <w:bCs/>
      <w:color w:val="000000" w:themeColor="text1"/>
      <w:szCs w:val="26"/>
    </w:rPr>
  </w:style>
  <w:style w:type="paragraph" w:styleId="TOC2">
    <w:name w:val="toc 2"/>
    <w:basedOn w:val="Normal"/>
    <w:next w:val="Normal"/>
    <w:autoRedefine/>
    <w:uiPriority w:val="39"/>
    <w:unhideWhenUsed/>
    <w:rsid w:val="00C34E49"/>
    <w:pPr>
      <w:tabs>
        <w:tab w:val="right" w:leader="dot" w:pos="9350"/>
      </w:tabs>
      <w:spacing w:after="100" w:line="276" w:lineRule="auto"/>
      <w:ind w:left="220"/>
    </w:pPr>
    <w:rPr>
      <w:rFonts w:eastAsiaTheme="minorHAnsi" w:cstheme="minorBidi"/>
      <w:sz w:val="22"/>
      <w:szCs w:val="22"/>
    </w:rPr>
  </w:style>
  <w:style w:type="character" w:styleId="UnresolvedMention">
    <w:name w:val="Unresolved Mention"/>
    <w:basedOn w:val="DefaultParagraphFont"/>
    <w:uiPriority w:val="99"/>
    <w:semiHidden/>
    <w:unhideWhenUsed/>
    <w:rsid w:val="00A83C13"/>
    <w:rPr>
      <w:color w:val="605E5C"/>
      <w:shd w:val="clear" w:color="auto" w:fill="E1DFDD"/>
    </w:rPr>
  </w:style>
  <w:style w:type="paragraph" w:customStyle="1" w:styleId="TableTitle">
    <w:name w:val="Table Title"/>
    <w:aliases w:val="tti,ti,tt,tt + Not Bold,Before:  0 pt,After:  0 pt"/>
    <w:basedOn w:val="TableText"/>
    <w:link w:val="TableTitleChar"/>
    <w:qFormat/>
    <w:rsid w:val="00ED2392"/>
    <w:pPr>
      <w:keepNext/>
      <w:spacing w:before="60" w:after="60"/>
    </w:pPr>
    <w:rPr>
      <w:b/>
      <w:sz w:val="22"/>
    </w:rPr>
  </w:style>
  <w:style w:type="character" w:customStyle="1" w:styleId="TableTitleChar">
    <w:name w:val="Table Title Char"/>
    <w:aliases w:val="tti Char,ti Char,tt Char,tt + Not Bold Char,Before:  0 pt Char,After:  0 pt Char"/>
    <w:link w:val="TableTitle"/>
    <w:locked/>
    <w:rsid w:val="00ED2392"/>
    <w:rPr>
      <w:rFonts w:ascii="Calibri" w:eastAsia="Times New Roman" w:hAnsi="Calibri" w:cs="Calibri"/>
      <w:b/>
      <w:szCs w:val="20"/>
    </w:rPr>
  </w:style>
  <w:style w:type="character" w:customStyle="1" w:styleId="Heading3Char">
    <w:name w:val="Heading 3 Char"/>
    <w:basedOn w:val="DefaultParagraphFont"/>
    <w:link w:val="Heading3"/>
    <w:uiPriority w:val="9"/>
    <w:semiHidden/>
    <w:rsid w:val="0028048A"/>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semiHidden/>
    <w:rsid w:val="0028048A"/>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rsid w:val="0028048A"/>
    <w:rPr>
      <w:rFonts w:asciiTheme="majorHAnsi" w:eastAsiaTheme="majorEastAsia" w:hAnsiTheme="majorHAnsi" w:cstheme="majorBidi"/>
      <w:color w:val="365F91" w:themeColor="accent1" w:themeShade="BF"/>
    </w:rPr>
  </w:style>
  <w:style w:type="paragraph" w:customStyle="1" w:styleId="BodyTextHang">
    <w:name w:val="Body Text Hang"/>
    <w:aliases w:val="bh"/>
    <w:basedOn w:val="BodyText"/>
    <w:rsid w:val="0028048A"/>
    <w:pPr>
      <w:ind w:left="360" w:hanging="360"/>
      <w:jc w:val="left"/>
    </w:pPr>
    <w:rPr>
      <w:rFonts w:cs="Times New Roman"/>
    </w:rPr>
  </w:style>
  <w:style w:type="paragraph" w:styleId="ListBullet">
    <w:name w:val="List Bullet"/>
    <w:basedOn w:val="BodyText"/>
    <w:link w:val="ListBulletChar"/>
    <w:rsid w:val="0028048A"/>
    <w:pPr>
      <w:numPr>
        <w:numId w:val="4"/>
      </w:numPr>
      <w:spacing w:before="120"/>
    </w:pPr>
    <w:rPr>
      <w:szCs w:val="20"/>
    </w:rPr>
  </w:style>
  <w:style w:type="paragraph" w:styleId="ListBullet2">
    <w:name w:val="List Bullet 2"/>
    <w:basedOn w:val="BodyText"/>
    <w:rsid w:val="0028048A"/>
    <w:pPr>
      <w:numPr>
        <w:ilvl w:val="1"/>
        <w:numId w:val="4"/>
      </w:numPr>
      <w:spacing w:before="120"/>
    </w:pPr>
    <w:rPr>
      <w:szCs w:val="20"/>
    </w:rPr>
  </w:style>
  <w:style w:type="paragraph" w:styleId="ListBullet3">
    <w:name w:val="List Bullet 3"/>
    <w:basedOn w:val="Normal"/>
    <w:uiPriority w:val="99"/>
    <w:unhideWhenUsed/>
    <w:rsid w:val="0028048A"/>
    <w:pPr>
      <w:numPr>
        <w:ilvl w:val="2"/>
        <w:numId w:val="4"/>
      </w:numPr>
      <w:spacing w:line="216" w:lineRule="auto"/>
    </w:pPr>
    <w:rPr>
      <w:rFonts w:ascii="Calibri" w:hAnsi="Calibri" w:cs="Calibri"/>
      <w:sz w:val="20"/>
      <w:szCs w:val="20"/>
    </w:rPr>
  </w:style>
  <w:style w:type="paragraph" w:styleId="ListBullet4">
    <w:name w:val="List Bullet 4"/>
    <w:basedOn w:val="Normal"/>
    <w:uiPriority w:val="99"/>
    <w:unhideWhenUsed/>
    <w:rsid w:val="0028048A"/>
    <w:pPr>
      <w:numPr>
        <w:ilvl w:val="3"/>
        <w:numId w:val="4"/>
      </w:numPr>
      <w:spacing w:line="216" w:lineRule="auto"/>
    </w:pPr>
    <w:rPr>
      <w:rFonts w:ascii="Calibri" w:hAnsi="Calibri" w:cs="Calibri"/>
      <w:sz w:val="20"/>
      <w:szCs w:val="20"/>
    </w:rPr>
  </w:style>
  <w:style w:type="paragraph" w:customStyle="1" w:styleId="MMBullet">
    <w:name w:val="MM Bullet"/>
    <w:aliases w:val="mb"/>
    <w:basedOn w:val="Normal"/>
    <w:rsid w:val="0028048A"/>
    <w:pPr>
      <w:numPr>
        <w:ilvl w:val="7"/>
        <w:numId w:val="4"/>
      </w:numPr>
      <w:spacing w:before="120"/>
    </w:pPr>
    <w:rPr>
      <w:rFonts w:ascii="Calibri" w:hAnsi="Calibri" w:cs="Calibri"/>
      <w:sz w:val="22"/>
      <w:szCs w:val="20"/>
    </w:rPr>
  </w:style>
  <w:style w:type="paragraph" w:customStyle="1" w:styleId="MMBullet2">
    <w:name w:val="MM Bullet 2"/>
    <w:aliases w:val="mb2"/>
    <w:basedOn w:val="Normal"/>
    <w:rsid w:val="0028048A"/>
    <w:pPr>
      <w:numPr>
        <w:ilvl w:val="8"/>
        <w:numId w:val="4"/>
      </w:numPr>
      <w:tabs>
        <w:tab w:val="left" w:pos="1656"/>
      </w:tabs>
      <w:spacing w:before="120"/>
      <w:jc w:val="both"/>
    </w:pPr>
    <w:rPr>
      <w:rFonts w:ascii="Calibri" w:hAnsi="Calibri" w:cs="Calibri"/>
      <w:sz w:val="22"/>
    </w:rPr>
  </w:style>
  <w:style w:type="character" w:customStyle="1" w:styleId="ListBulletChar">
    <w:name w:val="List Bullet Char"/>
    <w:basedOn w:val="DefaultParagraphFont"/>
    <w:link w:val="ListBullet"/>
    <w:locked/>
    <w:rsid w:val="0028048A"/>
    <w:rPr>
      <w:rFonts w:ascii="Calibri" w:eastAsia="Times New Roman" w:hAnsi="Calibri" w:cs="Calibri"/>
      <w:szCs w:val="20"/>
    </w:rPr>
  </w:style>
  <w:style w:type="character" w:styleId="CommentReference">
    <w:name w:val="annotation reference"/>
    <w:basedOn w:val="DefaultParagraphFont"/>
    <w:uiPriority w:val="99"/>
    <w:semiHidden/>
    <w:unhideWhenUsed/>
    <w:rsid w:val="00305034"/>
    <w:rPr>
      <w:sz w:val="16"/>
      <w:szCs w:val="16"/>
    </w:rPr>
  </w:style>
  <w:style w:type="paragraph" w:styleId="CommentText">
    <w:name w:val="annotation text"/>
    <w:basedOn w:val="Normal"/>
    <w:link w:val="CommentTextChar"/>
    <w:uiPriority w:val="99"/>
    <w:unhideWhenUsed/>
    <w:rsid w:val="00305034"/>
    <w:pPr>
      <w:spacing w:after="200"/>
    </w:pPr>
    <w:rPr>
      <w:rFonts w:eastAsiaTheme="minorHAnsi" w:cstheme="minorBidi"/>
      <w:sz w:val="20"/>
      <w:szCs w:val="20"/>
    </w:rPr>
  </w:style>
  <w:style w:type="character" w:customStyle="1" w:styleId="CommentTextChar">
    <w:name w:val="Comment Text Char"/>
    <w:basedOn w:val="DefaultParagraphFont"/>
    <w:link w:val="CommentText"/>
    <w:uiPriority w:val="99"/>
    <w:rsid w:val="00305034"/>
    <w:rPr>
      <w:sz w:val="20"/>
      <w:szCs w:val="20"/>
    </w:rPr>
  </w:style>
  <w:style w:type="paragraph" w:styleId="CommentSubject">
    <w:name w:val="annotation subject"/>
    <w:basedOn w:val="CommentText"/>
    <w:next w:val="CommentText"/>
    <w:link w:val="CommentSubjectChar"/>
    <w:uiPriority w:val="99"/>
    <w:semiHidden/>
    <w:unhideWhenUsed/>
    <w:rsid w:val="00305034"/>
    <w:rPr>
      <w:b/>
      <w:bCs/>
    </w:rPr>
  </w:style>
  <w:style w:type="character" w:customStyle="1" w:styleId="CommentSubjectChar">
    <w:name w:val="Comment Subject Char"/>
    <w:basedOn w:val="CommentTextChar"/>
    <w:link w:val="CommentSubject"/>
    <w:uiPriority w:val="99"/>
    <w:semiHidden/>
    <w:rsid w:val="00305034"/>
    <w:rPr>
      <w:b/>
      <w:bCs/>
      <w:sz w:val="20"/>
      <w:szCs w:val="20"/>
    </w:rPr>
  </w:style>
  <w:style w:type="paragraph" w:styleId="Revision">
    <w:name w:val="Revision"/>
    <w:hidden/>
    <w:uiPriority w:val="99"/>
    <w:semiHidden/>
    <w:rsid w:val="000F780A"/>
    <w:pPr>
      <w:spacing w:after="0" w:line="240" w:lineRule="auto"/>
    </w:pPr>
  </w:style>
  <w:style w:type="character" w:customStyle="1" w:styleId="outlook-search-highlight">
    <w:name w:val="outlook-search-highlight"/>
    <w:basedOn w:val="DefaultParagraphFont"/>
    <w:rsid w:val="000F780A"/>
  </w:style>
  <w:style w:type="character" w:customStyle="1" w:styleId="apple-converted-space">
    <w:name w:val="apple-converted-space"/>
    <w:basedOn w:val="DefaultParagraphFont"/>
    <w:rsid w:val="000F780A"/>
  </w:style>
  <w:style w:type="character" w:styleId="FollowedHyperlink">
    <w:name w:val="FollowedHyperlink"/>
    <w:basedOn w:val="DefaultParagraphFont"/>
    <w:uiPriority w:val="99"/>
    <w:semiHidden/>
    <w:unhideWhenUsed/>
    <w:rsid w:val="000F780A"/>
    <w:rPr>
      <w:color w:val="800080" w:themeColor="followedHyperlink"/>
      <w:u w:val="single"/>
    </w:rPr>
  </w:style>
  <w:style w:type="paragraph" w:styleId="FootnoteText">
    <w:name w:val="footnote text"/>
    <w:basedOn w:val="Normal"/>
    <w:link w:val="FootnoteTextChar"/>
    <w:uiPriority w:val="99"/>
    <w:semiHidden/>
    <w:unhideWhenUsed/>
    <w:rsid w:val="00BA36E3"/>
    <w:rPr>
      <w:rFonts w:eastAsiaTheme="minorHAnsi" w:cstheme="minorBidi"/>
      <w:sz w:val="20"/>
      <w:szCs w:val="20"/>
    </w:rPr>
  </w:style>
  <w:style w:type="character" w:customStyle="1" w:styleId="FootnoteTextChar">
    <w:name w:val="Footnote Text Char"/>
    <w:basedOn w:val="DefaultParagraphFont"/>
    <w:link w:val="FootnoteText"/>
    <w:uiPriority w:val="99"/>
    <w:semiHidden/>
    <w:rsid w:val="00BA36E3"/>
    <w:rPr>
      <w:sz w:val="20"/>
      <w:szCs w:val="20"/>
    </w:rPr>
  </w:style>
  <w:style w:type="character" w:styleId="FootnoteReference">
    <w:name w:val="footnote reference"/>
    <w:basedOn w:val="DefaultParagraphFont"/>
    <w:uiPriority w:val="99"/>
    <w:semiHidden/>
    <w:unhideWhenUsed/>
    <w:rsid w:val="00BA36E3"/>
    <w:rPr>
      <w:vertAlign w:val="superscript"/>
    </w:rPr>
  </w:style>
  <w:style w:type="paragraph" w:customStyle="1" w:styleId="Default">
    <w:name w:val="Default"/>
    <w:rsid w:val="005436C4"/>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203803">
      <w:bodyDiv w:val="1"/>
      <w:marLeft w:val="0"/>
      <w:marRight w:val="0"/>
      <w:marTop w:val="0"/>
      <w:marBottom w:val="0"/>
      <w:divBdr>
        <w:top w:val="none" w:sz="0" w:space="0" w:color="auto"/>
        <w:left w:val="none" w:sz="0" w:space="0" w:color="auto"/>
        <w:bottom w:val="none" w:sz="0" w:space="0" w:color="auto"/>
        <w:right w:val="none" w:sz="0" w:space="0" w:color="auto"/>
      </w:divBdr>
    </w:div>
    <w:div w:id="454254434">
      <w:bodyDiv w:val="1"/>
      <w:marLeft w:val="0"/>
      <w:marRight w:val="0"/>
      <w:marTop w:val="0"/>
      <w:marBottom w:val="0"/>
      <w:divBdr>
        <w:top w:val="none" w:sz="0" w:space="0" w:color="auto"/>
        <w:left w:val="none" w:sz="0" w:space="0" w:color="auto"/>
        <w:bottom w:val="none" w:sz="0" w:space="0" w:color="auto"/>
        <w:right w:val="none" w:sz="0" w:space="0" w:color="auto"/>
      </w:divBdr>
    </w:div>
    <w:div w:id="455638803">
      <w:bodyDiv w:val="1"/>
      <w:marLeft w:val="0"/>
      <w:marRight w:val="0"/>
      <w:marTop w:val="0"/>
      <w:marBottom w:val="0"/>
      <w:divBdr>
        <w:top w:val="none" w:sz="0" w:space="0" w:color="auto"/>
        <w:left w:val="none" w:sz="0" w:space="0" w:color="auto"/>
        <w:bottom w:val="none" w:sz="0" w:space="0" w:color="auto"/>
        <w:right w:val="none" w:sz="0" w:space="0" w:color="auto"/>
      </w:divBdr>
    </w:div>
    <w:div w:id="614141065">
      <w:bodyDiv w:val="1"/>
      <w:marLeft w:val="0"/>
      <w:marRight w:val="0"/>
      <w:marTop w:val="0"/>
      <w:marBottom w:val="0"/>
      <w:divBdr>
        <w:top w:val="none" w:sz="0" w:space="0" w:color="auto"/>
        <w:left w:val="none" w:sz="0" w:space="0" w:color="auto"/>
        <w:bottom w:val="none" w:sz="0" w:space="0" w:color="auto"/>
        <w:right w:val="none" w:sz="0" w:space="0" w:color="auto"/>
      </w:divBdr>
    </w:div>
    <w:div w:id="949363357">
      <w:bodyDiv w:val="1"/>
      <w:marLeft w:val="0"/>
      <w:marRight w:val="0"/>
      <w:marTop w:val="0"/>
      <w:marBottom w:val="0"/>
      <w:divBdr>
        <w:top w:val="none" w:sz="0" w:space="0" w:color="auto"/>
        <w:left w:val="none" w:sz="0" w:space="0" w:color="auto"/>
        <w:bottom w:val="none" w:sz="0" w:space="0" w:color="auto"/>
        <w:right w:val="none" w:sz="0" w:space="0" w:color="auto"/>
      </w:divBdr>
    </w:div>
    <w:div w:id="1419716490">
      <w:bodyDiv w:val="1"/>
      <w:marLeft w:val="0"/>
      <w:marRight w:val="0"/>
      <w:marTop w:val="0"/>
      <w:marBottom w:val="0"/>
      <w:divBdr>
        <w:top w:val="none" w:sz="0" w:space="0" w:color="auto"/>
        <w:left w:val="none" w:sz="0" w:space="0" w:color="auto"/>
        <w:bottom w:val="none" w:sz="0" w:space="0" w:color="auto"/>
        <w:right w:val="none" w:sz="0" w:space="0" w:color="auto"/>
      </w:divBdr>
    </w:div>
    <w:div w:id="1511681112">
      <w:bodyDiv w:val="1"/>
      <w:marLeft w:val="0"/>
      <w:marRight w:val="0"/>
      <w:marTop w:val="0"/>
      <w:marBottom w:val="0"/>
      <w:divBdr>
        <w:top w:val="none" w:sz="0" w:space="0" w:color="auto"/>
        <w:left w:val="none" w:sz="0" w:space="0" w:color="auto"/>
        <w:bottom w:val="none" w:sz="0" w:space="0" w:color="auto"/>
        <w:right w:val="none" w:sz="0" w:space="0" w:color="auto"/>
      </w:divBdr>
    </w:div>
    <w:div w:id="1528758603">
      <w:bodyDiv w:val="1"/>
      <w:marLeft w:val="0"/>
      <w:marRight w:val="0"/>
      <w:marTop w:val="0"/>
      <w:marBottom w:val="0"/>
      <w:divBdr>
        <w:top w:val="none" w:sz="0" w:space="0" w:color="auto"/>
        <w:left w:val="none" w:sz="0" w:space="0" w:color="auto"/>
        <w:bottom w:val="none" w:sz="0" w:space="0" w:color="auto"/>
        <w:right w:val="none" w:sz="0" w:space="0" w:color="auto"/>
      </w:divBdr>
    </w:div>
    <w:div w:id="1570572192">
      <w:bodyDiv w:val="1"/>
      <w:marLeft w:val="0"/>
      <w:marRight w:val="0"/>
      <w:marTop w:val="0"/>
      <w:marBottom w:val="0"/>
      <w:divBdr>
        <w:top w:val="none" w:sz="0" w:space="0" w:color="auto"/>
        <w:left w:val="none" w:sz="0" w:space="0" w:color="auto"/>
        <w:bottom w:val="none" w:sz="0" w:space="0" w:color="auto"/>
        <w:right w:val="none" w:sz="0" w:space="0" w:color="auto"/>
      </w:divBdr>
    </w:div>
    <w:div w:id="1937983302">
      <w:bodyDiv w:val="1"/>
      <w:marLeft w:val="0"/>
      <w:marRight w:val="0"/>
      <w:marTop w:val="0"/>
      <w:marBottom w:val="0"/>
      <w:divBdr>
        <w:top w:val="none" w:sz="0" w:space="0" w:color="auto"/>
        <w:left w:val="none" w:sz="0" w:space="0" w:color="auto"/>
        <w:bottom w:val="none" w:sz="0" w:space="0" w:color="auto"/>
        <w:right w:val="none" w:sz="0" w:space="0" w:color="auto"/>
      </w:divBdr>
    </w:div>
    <w:div w:id="2120486943">
      <w:bodyDiv w:val="1"/>
      <w:marLeft w:val="0"/>
      <w:marRight w:val="0"/>
      <w:marTop w:val="0"/>
      <w:marBottom w:val="0"/>
      <w:divBdr>
        <w:top w:val="none" w:sz="0" w:space="0" w:color="auto"/>
        <w:left w:val="none" w:sz="0" w:space="0" w:color="auto"/>
        <w:bottom w:val="none" w:sz="0" w:space="0" w:color="auto"/>
        <w:right w:val="none" w:sz="0" w:space="0" w:color="auto"/>
      </w:divBdr>
    </w:div>
    <w:div w:id="2145000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image" Target="media/image5.png"/><Relationship Id="rId39" Type="http://schemas.openxmlformats.org/officeDocument/2006/relationships/image" Target="media/image14.emf"/><Relationship Id="rId21" Type="http://schemas.openxmlformats.org/officeDocument/2006/relationships/header" Target="header7.xml"/><Relationship Id="rId34" Type="http://schemas.openxmlformats.org/officeDocument/2006/relationships/image" Target="media/image12.emf"/><Relationship Id="rId42" Type="http://schemas.openxmlformats.org/officeDocument/2006/relationships/image" Target="media/image17.emf"/><Relationship Id="rId47" Type="http://schemas.openxmlformats.org/officeDocument/2006/relationships/image" Target="media/image22.emf"/><Relationship Id="rId50" Type="http://schemas.openxmlformats.org/officeDocument/2006/relationships/image" Target="media/image25.emf"/><Relationship Id="rId55" Type="http://schemas.openxmlformats.org/officeDocument/2006/relationships/image" Target="media/image30.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8.png"/><Relationship Id="rId11" Type="http://schemas.openxmlformats.org/officeDocument/2006/relationships/header" Target="header1.xml"/><Relationship Id="rId24" Type="http://schemas.openxmlformats.org/officeDocument/2006/relationships/header" Target="header9.xml"/><Relationship Id="rId32" Type="http://schemas.openxmlformats.org/officeDocument/2006/relationships/image" Target="media/image10.png"/><Relationship Id="rId37" Type="http://schemas.openxmlformats.org/officeDocument/2006/relationships/hyperlink" Target="https://ieefa.org/resources/eye-popping-new-cost-estimates-released-nuscale-small-modular-reactor" TargetMode="External"/><Relationship Id="rId40" Type="http://schemas.openxmlformats.org/officeDocument/2006/relationships/image" Target="media/image15.emf"/><Relationship Id="rId45" Type="http://schemas.openxmlformats.org/officeDocument/2006/relationships/image" Target="media/image20.emf"/><Relationship Id="rId53" Type="http://schemas.openxmlformats.org/officeDocument/2006/relationships/image" Target="media/image28.emf"/><Relationship Id="rId58" Type="http://schemas.openxmlformats.org/officeDocument/2006/relationships/image" Target="media/image33.emf"/><Relationship Id="rId5" Type="http://schemas.openxmlformats.org/officeDocument/2006/relationships/webSettings" Target="webSettings.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header" Target="header8.xml"/><Relationship Id="rId27" Type="http://schemas.openxmlformats.org/officeDocument/2006/relationships/image" Target="media/image6.png"/><Relationship Id="rId30" Type="http://schemas.openxmlformats.org/officeDocument/2006/relationships/hyperlink" Target="https://www.cmua.org/sb1037-reports" TargetMode="External"/><Relationship Id="rId35" Type="http://schemas.openxmlformats.org/officeDocument/2006/relationships/hyperlink" Target="https://eta-publications.lbl.gov/sites/default/files/utility_scale_solar_2022_edition_slides.pdf" TargetMode="External"/><Relationship Id="rId43" Type="http://schemas.openxmlformats.org/officeDocument/2006/relationships/image" Target="media/image18.emf"/><Relationship Id="rId48" Type="http://schemas.openxmlformats.org/officeDocument/2006/relationships/image" Target="media/image23.emf"/><Relationship Id="rId56" Type="http://schemas.openxmlformats.org/officeDocument/2006/relationships/image" Target="media/image31.png"/><Relationship Id="rId8" Type="http://schemas.openxmlformats.org/officeDocument/2006/relationships/image" Target="media/image1.png"/><Relationship Id="rId51" Type="http://schemas.openxmlformats.org/officeDocument/2006/relationships/image" Target="media/image26.emf"/><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footer" Target="footer6.xml"/><Relationship Id="rId33" Type="http://schemas.openxmlformats.org/officeDocument/2006/relationships/image" Target="media/image11.emf"/><Relationship Id="rId38" Type="http://schemas.openxmlformats.org/officeDocument/2006/relationships/image" Target="media/image13.emf"/><Relationship Id="rId46" Type="http://schemas.openxmlformats.org/officeDocument/2006/relationships/image" Target="media/image21.emf"/><Relationship Id="rId59" Type="http://schemas.openxmlformats.org/officeDocument/2006/relationships/fontTable" Target="fontTable.xml"/><Relationship Id="rId20" Type="http://schemas.openxmlformats.org/officeDocument/2006/relationships/header" Target="header6.xml"/><Relationship Id="rId41" Type="http://schemas.openxmlformats.org/officeDocument/2006/relationships/image" Target="media/image16.emf"/><Relationship Id="rId54" Type="http://schemas.openxmlformats.org/officeDocument/2006/relationships/image" Target="media/image29.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footer" Target="footer5.xml"/><Relationship Id="rId28" Type="http://schemas.openxmlformats.org/officeDocument/2006/relationships/image" Target="media/image7.png"/><Relationship Id="rId36" Type="http://schemas.openxmlformats.org/officeDocument/2006/relationships/hyperlink" Target="https://geothermal.org/our-impact/stories/geothermal-power-purchase-agreements-rise" TargetMode="External"/><Relationship Id="rId49" Type="http://schemas.openxmlformats.org/officeDocument/2006/relationships/image" Target="media/image24.emf"/><Relationship Id="rId57" Type="http://schemas.openxmlformats.org/officeDocument/2006/relationships/image" Target="media/image32.png"/><Relationship Id="rId10" Type="http://schemas.openxmlformats.org/officeDocument/2006/relationships/image" Target="media/image3.png"/><Relationship Id="rId31" Type="http://schemas.openxmlformats.org/officeDocument/2006/relationships/image" Target="media/image9.png"/><Relationship Id="rId44" Type="http://schemas.openxmlformats.org/officeDocument/2006/relationships/image" Target="media/image19.emf"/><Relationship Id="rId52" Type="http://schemas.openxmlformats.org/officeDocument/2006/relationships/image" Target="media/image27.emf"/><Relationship Id="rId6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4.xml.rels><?xml version="1.0" encoding="UTF-8" standalone="yes"?>
<Relationships xmlns="http://schemas.openxmlformats.org/package/2006/relationships"><Relationship Id="rId1" Type="http://schemas.openxmlformats.org/officeDocument/2006/relationships/image" Target="media/image4.png"/></Relationships>
</file>

<file path=word/_rels/footer5.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footer6.xml.rels><?xml version="1.0" encoding="UTF-8" standalone="yes"?>
<Relationships xmlns="http://schemas.openxmlformats.org/package/2006/relationships"><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8" Type="http://schemas.openxmlformats.org/officeDocument/2006/relationships/hyperlink" Target="https://www.energy.ca.gov/publications/2021/california-building-decarbonization-assessment" TargetMode="External"/><Relationship Id="rId13" Type="http://schemas.openxmlformats.org/officeDocument/2006/relationships/hyperlink" Target="https://dot.ca.gov/programs/traffic-operations/census" TargetMode="External"/><Relationship Id="rId3" Type="http://schemas.openxmlformats.org/officeDocument/2006/relationships/hyperlink" Target="https://www.energy.ca.gov/sites/default/files/2021-05/CEC-600-2021-030.pdf" TargetMode="External"/><Relationship Id="rId7" Type="http://schemas.openxmlformats.org/officeDocument/2006/relationships/hyperlink" Target="https://www.cmua.org/sb1037-reports" TargetMode="External"/><Relationship Id="rId12" Type="http://schemas.openxmlformats.org/officeDocument/2006/relationships/hyperlink" Target="https://afdc.energy.gov/evi-pro-lite" TargetMode="External"/><Relationship Id="rId2" Type="http://schemas.openxmlformats.org/officeDocument/2006/relationships/hyperlink" Target="https://www.energy.ca.gov/sites/default/files/2021-05/CEC-600-2021-030.pdf" TargetMode="External"/><Relationship Id="rId1" Type="http://schemas.openxmlformats.org/officeDocument/2006/relationships/hyperlink" Target="https://www.townoftruckee.com/government/community-development/building-and-safety/residential/project-scope/solar" TargetMode="External"/><Relationship Id="rId6" Type="http://schemas.openxmlformats.org/officeDocument/2006/relationships/hyperlink" Target="https://www.energy.ca.gov/data-reports/reports/integrated-energy-policy-report/2023-integrated-energy-policy-report/2023-0" TargetMode="External"/><Relationship Id="rId11" Type="http://schemas.openxmlformats.org/officeDocument/2006/relationships/hyperlink" Target="https://data.ca.gov/dataset/vehicle-fuel-type-count-by-zip-code" TargetMode="External"/><Relationship Id="rId5" Type="http://schemas.openxmlformats.org/officeDocument/2006/relationships/hyperlink" Target="https://www.ptolemus.com/insight/is-tesla-semi-a-game-changer-part-1-tesla-semi-versus-other-electric-trucks/" TargetMode="External"/><Relationship Id="rId15" Type="http://schemas.openxmlformats.org/officeDocument/2006/relationships/hyperlink" Target="https://catc.ca.gov/-/media/ctc-media/documents/ctc-workshops/2023/063023-draft-sb671-assessment-technical-memorandum-a11y.pdf" TargetMode="External"/><Relationship Id="rId10" Type="http://schemas.openxmlformats.org/officeDocument/2006/relationships/hyperlink" Target="https://www.universityofcalifornia.edu/news/renewable-clean-hydrogen-power-coming-california-heres-what-you-need-know" TargetMode="External"/><Relationship Id="rId4" Type="http://schemas.openxmlformats.org/officeDocument/2006/relationships/hyperlink" Target="https://pubs.acs.org/doi/epdf/10.1021/es505621s" TargetMode="External"/><Relationship Id="rId9" Type="http://schemas.openxmlformats.org/officeDocument/2006/relationships/hyperlink" Target="https://eta-publications.lbl.gov/sites/default/files/conducting_a_technical_review_of_an_irp.pdf" TargetMode="External"/><Relationship Id="rId14" Type="http://schemas.openxmlformats.org/officeDocument/2006/relationships/hyperlink" Target="https://www.ptolemus.com/insight/is-tesla-semi-a-game-changer-part-1-tesla-semi-versus-other-electric-truck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E10812F-7BF3-5E44-9441-4487E8952A50}">
  <we:reference id="wa200001011" version="1.2.0.0" store="en-US" storeType="OMEX"/>
  <we:alternateReferences>
    <we:reference id="WA200001011" version="1.2.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D7E23CF0-CCFD-4FDC-B5D9-4D515CCF34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43</Pages>
  <Words>9616</Words>
  <Characters>54816</Characters>
  <Application>Microsoft Office Word</Application>
  <DocSecurity>0</DocSecurity>
  <Lines>456</Lines>
  <Paragraphs>128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64304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Catherine Elder</dc:creator>
  <cp:lastModifiedBy>Jared Carpenter</cp:lastModifiedBy>
  <cp:revision>4</cp:revision>
  <cp:lastPrinted>2023-12-13T19:43:00Z</cp:lastPrinted>
  <dcterms:created xsi:type="dcterms:W3CDTF">2024-03-22T18:02:00Z</dcterms:created>
  <dcterms:modified xsi:type="dcterms:W3CDTF">2024-03-22T18:05:00Z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documentId_2611</vt:lpwstr>
  </property>
  <property fmtid="{D5CDD505-2E9C-101B-9397-08002B2CF9AE}" pid="3" name="grammarly_documentContext">
    <vt:lpwstr>{"goals":[],"domain":"general","emotions":[],"dialect":"american"}</vt:lpwstr>
  </property>
</Properties>
</file>